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0F3" w:rsidRDefault="00EF10F3">
      <w:bookmarkStart w:id="0" w:name="_GoBack"/>
      <w:bookmarkEnd w:id="0"/>
    </w:p>
    <w:p w:rsidR="00872D2B" w:rsidRDefault="00872D2B"/>
    <w:p w:rsidR="00872D2B" w:rsidRDefault="00872D2B"/>
    <w:p w:rsidR="00872D2B" w:rsidRDefault="00872D2B"/>
    <w:p w:rsidR="00872D2B" w:rsidRDefault="00872D2B"/>
    <w:p w:rsidR="00872D2B" w:rsidRDefault="00872D2B"/>
    <w:p w:rsidR="00872D2B" w:rsidRDefault="00872D2B"/>
    <w:p w:rsidR="00872D2B" w:rsidRDefault="00872D2B"/>
    <w:p w:rsidR="00872D2B" w:rsidRDefault="002B51AB" w:rsidP="0016155F">
      <w:pPr>
        <w:spacing w:after="0"/>
        <w:jc w:val="center"/>
        <w:rPr>
          <w:b/>
          <w:sz w:val="24"/>
          <w:szCs w:val="24"/>
        </w:rPr>
      </w:pPr>
      <w:r>
        <w:rPr>
          <w:b/>
          <w:sz w:val="24"/>
          <w:szCs w:val="24"/>
        </w:rPr>
        <w:t>FY18-19 ANNUAL REPORT</w:t>
      </w:r>
    </w:p>
    <w:p w:rsidR="002B51AB" w:rsidRPr="0016155F" w:rsidRDefault="002B51AB" w:rsidP="0016155F">
      <w:pPr>
        <w:spacing w:after="0"/>
        <w:jc w:val="center"/>
        <w:rPr>
          <w:b/>
          <w:sz w:val="24"/>
          <w:szCs w:val="24"/>
        </w:rPr>
      </w:pPr>
      <w:r>
        <w:rPr>
          <w:b/>
          <w:sz w:val="24"/>
          <w:szCs w:val="24"/>
        </w:rPr>
        <w:t>PARTNERS IN CARE, MARYLAND, Inc.</w:t>
      </w:r>
    </w:p>
    <w:p w:rsidR="00872D2B" w:rsidRPr="0016155F" w:rsidRDefault="00872D2B" w:rsidP="0016155F">
      <w:pPr>
        <w:spacing w:after="0"/>
        <w:jc w:val="center"/>
        <w:rPr>
          <w:b/>
          <w:sz w:val="24"/>
          <w:szCs w:val="24"/>
        </w:rPr>
      </w:pPr>
    </w:p>
    <w:p w:rsidR="00872D2B" w:rsidRPr="0016155F" w:rsidRDefault="00916785" w:rsidP="0016155F">
      <w:pPr>
        <w:spacing w:after="0"/>
        <w:jc w:val="center"/>
        <w:rPr>
          <w:b/>
          <w:sz w:val="24"/>
          <w:szCs w:val="24"/>
        </w:rPr>
      </w:pPr>
      <w:r>
        <w:rPr>
          <w:b/>
          <w:sz w:val="24"/>
          <w:szCs w:val="24"/>
        </w:rPr>
        <w:t>August 19</w:t>
      </w:r>
      <w:r w:rsidR="00872D2B" w:rsidRPr="0016155F">
        <w:rPr>
          <w:b/>
          <w:sz w:val="24"/>
          <w:szCs w:val="24"/>
        </w:rPr>
        <w:t>, 2019</w:t>
      </w:r>
    </w:p>
    <w:p w:rsidR="00046C2F" w:rsidRDefault="00046C2F" w:rsidP="00872D2B">
      <w:pPr>
        <w:jc w:val="center"/>
        <w:rPr>
          <w:sz w:val="36"/>
          <w:szCs w:val="36"/>
        </w:rPr>
      </w:pPr>
      <w:r>
        <w:rPr>
          <w:sz w:val="36"/>
          <w:szCs w:val="36"/>
        </w:rPr>
        <w:t xml:space="preserve"> </w:t>
      </w:r>
    </w:p>
    <w:p w:rsidR="00046C2F" w:rsidRDefault="00046C2F">
      <w:pPr>
        <w:rPr>
          <w:sz w:val="36"/>
          <w:szCs w:val="36"/>
        </w:rPr>
      </w:pPr>
      <w:r>
        <w:rPr>
          <w:sz w:val="36"/>
          <w:szCs w:val="36"/>
        </w:rPr>
        <w:br w:type="page"/>
      </w:r>
    </w:p>
    <w:p w:rsidR="0087206A" w:rsidRPr="0087206A" w:rsidRDefault="0087206A" w:rsidP="0087206A">
      <w:pPr>
        <w:rPr>
          <w:b/>
          <w:sz w:val="24"/>
          <w:szCs w:val="24"/>
        </w:rPr>
      </w:pPr>
      <w:r w:rsidRPr="0087206A">
        <w:rPr>
          <w:b/>
          <w:sz w:val="24"/>
          <w:szCs w:val="24"/>
        </w:rPr>
        <w:lastRenderedPageBreak/>
        <w:t>OVERVIEW</w:t>
      </w:r>
    </w:p>
    <w:p w:rsidR="00931B53" w:rsidRDefault="0087206A" w:rsidP="00AB4429">
      <w:pPr>
        <w:spacing w:after="0" w:line="240" w:lineRule="auto"/>
        <w:rPr>
          <w:rFonts w:eastAsia="Times New Roman" w:cstheme="minorHAnsi"/>
          <w:color w:val="000000"/>
          <w:sz w:val="24"/>
          <w:szCs w:val="24"/>
        </w:rPr>
      </w:pPr>
      <w:r w:rsidRPr="00FE0FBC">
        <w:rPr>
          <w:rFonts w:eastAsia="Times New Roman" w:cstheme="minorHAnsi"/>
          <w:color w:val="000000"/>
          <w:sz w:val="24"/>
          <w:szCs w:val="24"/>
        </w:rPr>
        <w:t>In its 26</w:t>
      </w:r>
      <w:r w:rsidRPr="00FE0FBC">
        <w:rPr>
          <w:rFonts w:eastAsia="Times New Roman" w:cstheme="minorHAnsi"/>
          <w:color w:val="000000"/>
          <w:sz w:val="24"/>
          <w:szCs w:val="24"/>
          <w:vertAlign w:val="superscript"/>
        </w:rPr>
        <w:t>th</w:t>
      </w:r>
      <w:r w:rsidRPr="00FE0FBC">
        <w:rPr>
          <w:rFonts w:eastAsia="Times New Roman" w:cstheme="minorHAnsi"/>
          <w:color w:val="000000"/>
          <w:sz w:val="24"/>
          <w:szCs w:val="24"/>
        </w:rPr>
        <w:t xml:space="preserve"> year, Partners In Care Maryland continues to be the pre-eminent source of private, volunteer services for seniors, age 50 and over, who choose to remain independent as they age in place.  The cornerstone of PIC</w:t>
      </w:r>
      <w:r w:rsidR="008E0B1B">
        <w:rPr>
          <w:rFonts w:eastAsia="Times New Roman" w:cstheme="minorHAnsi"/>
          <w:color w:val="000000"/>
          <w:sz w:val="24"/>
          <w:szCs w:val="24"/>
        </w:rPr>
        <w:t>’s volunteer services i</w:t>
      </w:r>
      <w:r w:rsidRPr="00FE0FBC">
        <w:rPr>
          <w:rFonts w:eastAsia="Times New Roman" w:cstheme="minorHAnsi"/>
          <w:color w:val="000000"/>
          <w:sz w:val="24"/>
          <w:szCs w:val="24"/>
        </w:rPr>
        <w:t xml:space="preserve">s its Ride Partners program, a program that delivers scheduled transportation assistance to seniors, using volunteer drivers and/or mobility bus service. </w:t>
      </w:r>
      <w:r w:rsidR="008E0B1B">
        <w:rPr>
          <w:rFonts w:eastAsia="Times New Roman" w:cstheme="minorHAnsi"/>
          <w:color w:val="000000"/>
          <w:sz w:val="24"/>
          <w:szCs w:val="24"/>
        </w:rPr>
        <w:t>V</w:t>
      </w:r>
      <w:r w:rsidRPr="00FE0FBC">
        <w:rPr>
          <w:rFonts w:eastAsia="Times New Roman" w:cstheme="minorHAnsi"/>
          <w:color w:val="000000"/>
          <w:sz w:val="24"/>
          <w:szCs w:val="24"/>
        </w:rPr>
        <w:t xml:space="preserve">olunteers use their </w:t>
      </w:r>
      <w:r w:rsidRPr="00FE0FBC">
        <w:rPr>
          <w:rFonts w:eastAsia="Times New Roman" w:cstheme="minorHAnsi"/>
          <w:noProof/>
          <w:color w:val="000000"/>
          <w:sz w:val="24"/>
          <w:szCs w:val="24"/>
        </w:rPr>
        <w:t>own</w:t>
      </w:r>
      <w:r w:rsidRPr="00FE0FBC">
        <w:rPr>
          <w:rFonts w:eastAsia="Times New Roman" w:cstheme="minorHAnsi"/>
          <w:color w:val="000000"/>
          <w:sz w:val="24"/>
          <w:szCs w:val="24"/>
        </w:rPr>
        <w:t xml:space="preserve"> cars </w:t>
      </w:r>
      <w:r w:rsidR="00642AAD">
        <w:rPr>
          <w:rFonts w:eastAsia="Times New Roman" w:cstheme="minorHAnsi"/>
          <w:color w:val="000000"/>
          <w:sz w:val="24"/>
          <w:szCs w:val="24"/>
        </w:rPr>
        <w:t>to</w:t>
      </w:r>
      <w:r w:rsidRPr="00FE0FBC">
        <w:rPr>
          <w:rFonts w:eastAsia="Times New Roman" w:cstheme="minorHAnsi"/>
          <w:color w:val="000000"/>
          <w:sz w:val="24"/>
          <w:szCs w:val="24"/>
        </w:rPr>
        <w:t xml:space="preserve"> deliver arm-in-arm, door-through-door transportation at no cost to the riders for medical appointments, grocery shopping, errands, and numerous other activities that enable seniors to remain activ</w:t>
      </w:r>
      <w:r w:rsidR="00AB4429">
        <w:rPr>
          <w:rFonts w:eastAsia="Times New Roman" w:cstheme="minorHAnsi"/>
          <w:color w:val="000000"/>
          <w:sz w:val="24"/>
          <w:szCs w:val="24"/>
        </w:rPr>
        <w:t xml:space="preserve">e, healthy and engaged in their </w:t>
      </w:r>
      <w:r w:rsidRPr="00FE0FBC">
        <w:rPr>
          <w:rFonts w:eastAsia="Times New Roman" w:cstheme="minorHAnsi"/>
          <w:color w:val="000000"/>
          <w:sz w:val="24"/>
          <w:szCs w:val="24"/>
        </w:rPr>
        <w:t xml:space="preserve">communities.  </w:t>
      </w:r>
      <w:r w:rsidR="008E0B1B">
        <w:rPr>
          <w:rFonts w:eastAsia="Times New Roman" w:cstheme="minorHAnsi"/>
          <w:color w:val="000000"/>
          <w:sz w:val="24"/>
          <w:szCs w:val="24"/>
        </w:rPr>
        <w:t xml:space="preserve">Mobility bus services are provided to those whose mobility is more restricted. </w:t>
      </w:r>
      <w:r w:rsidR="00931B53">
        <w:rPr>
          <w:rFonts w:eastAsia="Times New Roman" w:cstheme="minorHAnsi"/>
          <w:color w:val="000000"/>
          <w:sz w:val="24"/>
          <w:szCs w:val="24"/>
        </w:rPr>
        <w:t xml:space="preserve"> </w:t>
      </w:r>
      <w:r w:rsidR="00A04919">
        <w:rPr>
          <w:rFonts w:eastAsia="Times New Roman" w:cstheme="minorHAnsi"/>
          <w:color w:val="000000"/>
          <w:sz w:val="24"/>
          <w:szCs w:val="24"/>
        </w:rPr>
        <w:t xml:space="preserve"> Members can take advantage of PIC’s transport services at no cost, and they are also engaged to participate in other facets of the program --- “Handyman/Handywomen”, “Member Care” and “Program Helpers”.  Bel</w:t>
      </w:r>
      <w:r w:rsidR="00E2113C">
        <w:rPr>
          <w:rFonts w:eastAsia="Times New Roman" w:cstheme="minorHAnsi"/>
          <w:color w:val="000000"/>
          <w:sz w:val="24"/>
          <w:szCs w:val="24"/>
        </w:rPr>
        <w:t>ow, we profile activity in all</w:t>
      </w:r>
      <w:r w:rsidR="00A04919">
        <w:rPr>
          <w:rFonts w:eastAsia="Times New Roman" w:cstheme="minorHAnsi"/>
          <w:color w:val="000000"/>
          <w:sz w:val="24"/>
          <w:szCs w:val="24"/>
        </w:rPr>
        <w:t xml:space="preserve"> areas during FY19.</w:t>
      </w:r>
    </w:p>
    <w:p w:rsidR="00931B53" w:rsidRDefault="00931B53" w:rsidP="00AB4429">
      <w:pPr>
        <w:spacing w:after="0" w:line="240" w:lineRule="auto"/>
        <w:rPr>
          <w:rFonts w:eastAsia="Times New Roman" w:cstheme="minorHAnsi"/>
          <w:color w:val="000000"/>
          <w:sz w:val="24"/>
          <w:szCs w:val="24"/>
        </w:rPr>
      </w:pPr>
    </w:p>
    <w:p w:rsidR="00931B53" w:rsidRPr="00931B53" w:rsidRDefault="00931B53" w:rsidP="00AB4429">
      <w:pPr>
        <w:spacing w:after="0" w:line="240" w:lineRule="auto"/>
        <w:rPr>
          <w:rFonts w:eastAsia="Times New Roman" w:cstheme="minorHAnsi"/>
          <w:b/>
          <w:color w:val="000000"/>
          <w:sz w:val="24"/>
          <w:szCs w:val="24"/>
        </w:rPr>
      </w:pPr>
      <w:r>
        <w:rPr>
          <w:rFonts w:eastAsia="Times New Roman" w:cstheme="minorHAnsi"/>
          <w:b/>
          <w:color w:val="000000"/>
          <w:sz w:val="24"/>
          <w:szCs w:val="24"/>
        </w:rPr>
        <w:t>PIC “RIDE PARTNER” AND MOBILITY BUS SERVICES</w:t>
      </w:r>
    </w:p>
    <w:p w:rsidR="00931B53" w:rsidRDefault="008E0B1B" w:rsidP="00AB4429">
      <w:pPr>
        <w:spacing w:after="0" w:line="240" w:lineRule="auto"/>
        <w:rPr>
          <w:rFonts w:eastAsia="Times New Roman" w:cstheme="minorHAnsi"/>
          <w:color w:val="000000"/>
          <w:sz w:val="24"/>
          <w:szCs w:val="24"/>
        </w:rPr>
      </w:pPr>
      <w:r>
        <w:rPr>
          <w:rFonts w:eastAsia="Times New Roman" w:cstheme="minorHAnsi"/>
          <w:color w:val="000000"/>
          <w:sz w:val="24"/>
          <w:szCs w:val="24"/>
        </w:rPr>
        <w:t>PIC’s transportation program continued to grow in the fiscal year ended 6/30/19.  By contrast with the prior fiscal year, all of the core metrics PIC monitors to manage the program, increased substantially over FY18.  Total trips increased by 4.3%, total volunteer hours by 10.9%, total miles driven by 16.1%</w:t>
      </w:r>
      <w:r w:rsidR="00931B53">
        <w:rPr>
          <w:rFonts w:eastAsia="Times New Roman" w:cstheme="minorHAnsi"/>
          <w:color w:val="000000"/>
          <w:sz w:val="24"/>
          <w:szCs w:val="24"/>
        </w:rPr>
        <w:t xml:space="preserve">, and total riders by 15.6%!  The only exception to this was the total number of </w:t>
      </w:r>
      <w:r w:rsidR="007739C6">
        <w:rPr>
          <w:rFonts w:eastAsia="Times New Roman" w:cstheme="minorHAnsi"/>
          <w:color w:val="000000"/>
          <w:sz w:val="24"/>
          <w:szCs w:val="24"/>
        </w:rPr>
        <w:t xml:space="preserve">volunteer </w:t>
      </w:r>
      <w:r w:rsidR="00931B53">
        <w:rPr>
          <w:rFonts w:eastAsia="Times New Roman" w:cstheme="minorHAnsi"/>
          <w:color w:val="000000"/>
          <w:sz w:val="24"/>
          <w:szCs w:val="24"/>
        </w:rPr>
        <w:t>drivers, which fell by 8.9%.  However, this simply means that a slightly smaller group of volunteers, 31 fewer to be precise (e.g. 346 vs. 315), accounted for all the increases reported above.  When viewed from this perspective, the accomplishments noted above are even more impressive</w:t>
      </w:r>
      <w:r w:rsidR="00430443">
        <w:rPr>
          <w:rFonts w:eastAsia="Times New Roman" w:cstheme="minorHAnsi"/>
          <w:color w:val="000000"/>
          <w:sz w:val="24"/>
          <w:szCs w:val="24"/>
        </w:rPr>
        <w:t xml:space="preserve">, and indicate PIC volunteers </w:t>
      </w:r>
      <w:r w:rsidR="00BA6C4D">
        <w:rPr>
          <w:rFonts w:eastAsia="Times New Roman" w:cstheme="minorHAnsi"/>
          <w:color w:val="000000"/>
          <w:sz w:val="24"/>
          <w:szCs w:val="24"/>
        </w:rPr>
        <w:t>“</w:t>
      </w:r>
      <w:r w:rsidR="00430443">
        <w:rPr>
          <w:rFonts w:eastAsia="Times New Roman" w:cstheme="minorHAnsi"/>
          <w:color w:val="000000"/>
          <w:sz w:val="24"/>
          <w:szCs w:val="24"/>
        </w:rPr>
        <w:t>stepped up</w:t>
      </w:r>
      <w:r w:rsidR="00BA6C4D">
        <w:rPr>
          <w:rFonts w:eastAsia="Times New Roman" w:cstheme="minorHAnsi"/>
          <w:color w:val="000000"/>
          <w:sz w:val="24"/>
          <w:szCs w:val="24"/>
        </w:rPr>
        <w:t>”</w:t>
      </w:r>
      <w:r w:rsidR="00430443">
        <w:rPr>
          <w:rFonts w:eastAsia="Times New Roman" w:cstheme="minorHAnsi"/>
          <w:color w:val="000000"/>
          <w:sz w:val="24"/>
          <w:szCs w:val="24"/>
        </w:rPr>
        <w:t>, to fill a growing demand for assistance</w:t>
      </w:r>
      <w:r w:rsidR="00931B53">
        <w:rPr>
          <w:rFonts w:eastAsia="Times New Roman" w:cstheme="minorHAnsi"/>
          <w:color w:val="000000"/>
          <w:sz w:val="24"/>
          <w:szCs w:val="24"/>
        </w:rPr>
        <w:t xml:space="preserve">!  </w:t>
      </w:r>
      <w:r>
        <w:rPr>
          <w:rFonts w:eastAsia="Times New Roman" w:cstheme="minorHAnsi"/>
          <w:color w:val="000000"/>
          <w:sz w:val="24"/>
          <w:szCs w:val="24"/>
        </w:rPr>
        <w:t xml:space="preserve">     </w:t>
      </w:r>
    </w:p>
    <w:p w:rsidR="0016155F" w:rsidRDefault="008E0B1B" w:rsidP="00AB4429">
      <w:pPr>
        <w:spacing w:after="0" w:line="240" w:lineRule="auto"/>
        <w:rPr>
          <w:rFonts w:cstheme="minorHAnsi"/>
          <w:color w:val="666666"/>
          <w:sz w:val="24"/>
          <w:szCs w:val="24"/>
          <w:shd w:val="clear" w:color="auto" w:fill="FFFFFF"/>
        </w:rPr>
      </w:pPr>
      <w:r>
        <w:rPr>
          <w:rFonts w:eastAsia="Times New Roman" w:cstheme="minorHAnsi"/>
          <w:color w:val="000000"/>
          <w:sz w:val="24"/>
          <w:szCs w:val="24"/>
        </w:rPr>
        <w:t xml:space="preserve">                          </w:t>
      </w:r>
    </w:p>
    <w:p w:rsidR="008E0B1B" w:rsidRDefault="008E0B1B" w:rsidP="00046C2F">
      <w:pPr>
        <w:jc w:val="center"/>
      </w:pPr>
      <w:r>
        <w:rPr>
          <w:noProof/>
        </w:rPr>
        <w:drawing>
          <wp:inline distT="0" distB="0" distL="0" distR="0" wp14:anchorId="13570076" wp14:editId="28CD9461">
            <wp:extent cx="4572000" cy="2941982"/>
            <wp:effectExtent l="38100" t="38100" r="95250" b="869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1B53" w:rsidRDefault="0047224A" w:rsidP="00931B53">
      <w:r>
        <w:lastRenderedPageBreak/>
        <w:t>PIC not only demonstrated an ability to deliver more rides, but it also converted more requests into actual rides.  This was true across all three county sites – Anne Arundel. Frederick and Upper Shore (Caroline and Talbot counties).  The chart on the followi</w:t>
      </w:r>
      <w:r w:rsidR="00BA6C4D">
        <w:t>ng page displays the percentage</w:t>
      </w:r>
      <w:r>
        <w:t xml:space="preserve"> of total requests fulfilled by each site.  Across all sites, </w:t>
      </w:r>
      <w:r w:rsidR="007D5A36">
        <w:t>between FY</w:t>
      </w:r>
      <w:r w:rsidR="00BA6C4D">
        <w:t xml:space="preserve">18 and FY19, </w:t>
      </w:r>
      <w:r>
        <w:t xml:space="preserve">this percent rose from 86% to 89%.   </w:t>
      </w:r>
      <w:r w:rsidR="00430443">
        <w:t xml:space="preserve"> </w:t>
      </w:r>
    </w:p>
    <w:p w:rsidR="0047224A" w:rsidRDefault="0047224A" w:rsidP="0047224A">
      <w:pPr>
        <w:jc w:val="center"/>
      </w:pPr>
      <w:r>
        <w:rPr>
          <w:noProof/>
        </w:rPr>
        <w:drawing>
          <wp:inline distT="0" distB="0" distL="0" distR="0" wp14:anchorId="7822E42B" wp14:editId="01B43B57">
            <wp:extent cx="4663440" cy="2560320"/>
            <wp:effectExtent l="38100" t="38100" r="99060" b="876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2638" w:rsidRDefault="003E5F06" w:rsidP="003E5F06">
      <w:r>
        <w:t xml:space="preserve">As readers know, PIC delivers transport assistance across Maryland in three locations covering four counties– Frederick (Frederick county), Pasadena (Anne Arundel county) and </w:t>
      </w:r>
      <w:r w:rsidR="00022638">
        <w:t>in Easton on the u</w:t>
      </w:r>
      <w:r>
        <w:t xml:space="preserve">pper Eastern Shore (Caroline and Talbot county).  </w:t>
      </w:r>
      <w:r w:rsidR="00022638">
        <w:t>An appendix to this report contains visual displays of the scope of transportat</w:t>
      </w:r>
      <w:r w:rsidR="007812CF">
        <w:t>ion throughout</w:t>
      </w:r>
      <w:r w:rsidR="00644FD2">
        <w:t xml:space="preserve"> each service area, and </w:t>
      </w:r>
      <w:r w:rsidR="00022638">
        <w:t xml:space="preserve">number of rides completed in each area. </w:t>
      </w:r>
    </w:p>
    <w:p w:rsidR="00022638" w:rsidRDefault="00022638" w:rsidP="007D5A36">
      <w:pPr>
        <w:spacing w:after="0"/>
      </w:pPr>
      <w:r>
        <w:t>PIC’s transportation service reach</w:t>
      </w:r>
      <w:r w:rsidR="007D5A36">
        <w:t>es</w:t>
      </w:r>
      <w:r>
        <w:t xml:space="preserve"> all income and ethnic groups, in terms of counts of trips delivered </w:t>
      </w:r>
    </w:p>
    <w:p w:rsidR="00022638" w:rsidRDefault="00022638" w:rsidP="00022638">
      <w:pPr>
        <w:ind w:left="990"/>
      </w:pPr>
      <w:r>
        <w:rPr>
          <w:noProof/>
        </w:rPr>
        <w:drawing>
          <wp:inline distT="0" distB="0" distL="0" distR="0" wp14:anchorId="431FBCB7" wp14:editId="62FB2587">
            <wp:extent cx="4754880" cy="2468880"/>
            <wp:effectExtent l="38100" t="38100" r="102870" b="1028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p>
    <w:p w:rsidR="001D47FD" w:rsidRDefault="00022638" w:rsidP="007D5A36">
      <w:r>
        <w:lastRenderedPageBreak/>
        <w:t xml:space="preserve">and the number of volunteer hours committed to each of four income groups – those with less than $900 / month, </w:t>
      </w:r>
      <w:r w:rsidR="007D5A36">
        <w:t xml:space="preserve">monthly incomes between </w:t>
      </w:r>
      <w:r>
        <w:t xml:space="preserve">$901 - $1800, </w:t>
      </w:r>
      <w:r w:rsidR="007D5A36">
        <w:t>$1801 and</w:t>
      </w:r>
      <w:r>
        <w:t xml:space="preserve"> $2500</w:t>
      </w:r>
      <w:r w:rsidR="007D5A36">
        <w:t xml:space="preserve">, and </w:t>
      </w:r>
      <w:r>
        <w:t>incomes greater than $2500.</w:t>
      </w:r>
      <w:r w:rsidR="007D5A36">
        <w:rPr>
          <w:rStyle w:val="FootnoteReference"/>
        </w:rPr>
        <w:footnoteReference w:id="1"/>
      </w:r>
      <w:r>
        <w:t xml:space="preserve">  </w:t>
      </w:r>
      <w:r w:rsidR="007D5A36">
        <w:t xml:space="preserve">To help readers understand how these groups relate to </w:t>
      </w:r>
      <w:r w:rsidR="00C02CCA">
        <w:t>the Federal Poverty level (e.g. FPL)</w:t>
      </w:r>
      <w:r w:rsidR="007D5A36">
        <w:t xml:space="preserve">, </w:t>
      </w:r>
      <w:r w:rsidR="002F24B5">
        <w:t xml:space="preserve">any member with </w:t>
      </w:r>
      <w:r w:rsidR="00C02CCA">
        <w:t xml:space="preserve">a </w:t>
      </w:r>
      <w:r w:rsidR="002F24B5">
        <w:t>monthly income less</w:t>
      </w:r>
      <w:r w:rsidR="00C02CCA">
        <w:t xml:space="preserve"> than $1,041 per month, </w:t>
      </w:r>
      <w:r w:rsidR="002F24B5">
        <w:t xml:space="preserve">falls within </w:t>
      </w:r>
      <w:r w:rsidR="00C02CCA">
        <w:t>the FPL limit</w:t>
      </w:r>
      <w:r w:rsidR="002F24B5">
        <w:t xml:space="preserve">.  The “less than $900 per month”, group clearly falls into this group.  </w:t>
      </w:r>
      <w:r w:rsidR="001D47FD">
        <w:t>H</w:t>
      </w:r>
      <w:r w:rsidR="002F24B5">
        <w:t xml:space="preserve">owever, some </w:t>
      </w:r>
      <w:r w:rsidR="001D47FD">
        <w:t xml:space="preserve">portion of </w:t>
      </w:r>
      <w:r w:rsidR="002F24B5">
        <w:t>members whose incomes are between $901-$1800, also fall</w:t>
      </w:r>
      <w:r w:rsidR="00C02CCA">
        <w:t>s</w:t>
      </w:r>
      <w:r w:rsidR="002F24B5">
        <w:t xml:space="preserve"> in this group.  Thus, </w:t>
      </w:r>
      <w:r w:rsidR="001D47FD">
        <w:t xml:space="preserve">the above graph suggests roughly 25-40% of </w:t>
      </w:r>
      <w:r w:rsidR="001D47FD" w:rsidRPr="00C02CCA">
        <w:rPr>
          <w:u w:val="single"/>
        </w:rPr>
        <w:t>trips delivered</w:t>
      </w:r>
      <w:r w:rsidR="001D47FD">
        <w:t xml:space="preserve"> by PIC</w:t>
      </w:r>
      <w:r w:rsidR="00C02CCA">
        <w:t xml:space="preserve"> drivers we</w:t>
      </w:r>
      <w:r w:rsidR="001D47FD">
        <w:t>re don</w:t>
      </w:r>
      <w:r w:rsidR="00C02CCA">
        <w:t>e for members whose income fell</w:t>
      </w:r>
      <w:r w:rsidR="001D47FD">
        <w:t xml:space="preserve"> within 100-200% of FPL.   As the graph below </w:t>
      </w:r>
      <w:r w:rsidR="00965C52">
        <w:t>also illu</w:t>
      </w:r>
      <w:r w:rsidR="00D41B2A">
        <w:t>strates, this proportion carried</w:t>
      </w:r>
      <w:r w:rsidR="00965C52">
        <w:t xml:space="preserve"> over to the </w:t>
      </w:r>
      <w:r w:rsidR="001D47FD">
        <w:t xml:space="preserve">percent of volunteer </w:t>
      </w:r>
      <w:r w:rsidR="001D47FD" w:rsidRPr="00C02CCA">
        <w:rPr>
          <w:u w:val="single"/>
        </w:rPr>
        <w:t xml:space="preserve">hours </w:t>
      </w:r>
      <w:r w:rsidR="00C02CCA">
        <w:t>complete</w:t>
      </w:r>
      <w:r w:rsidR="00D41B2A">
        <w:t>d for</w:t>
      </w:r>
      <w:r w:rsidR="00C02CCA">
        <w:t xml:space="preserve"> trips to members </w:t>
      </w:r>
      <w:r w:rsidR="001D47FD">
        <w:t xml:space="preserve">in this income range </w:t>
      </w:r>
      <w:r w:rsidR="00965C52">
        <w:t xml:space="preserve">as well. </w:t>
      </w:r>
      <w:r w:rsidR="001D47FD">
        <w:t xml:space="preserve"> </w:t>
      </w:r>
    </w:p>
    <w:p w:rsidR="001D47FD" w:rsidRDefault="00115E00" w:rsidP="00115E00">
      <w:pPr>
        <w:ind w:left="990"/>
      </w:pPr>
      <w:r>
        <w:rPr>
          <w:noProof/>
        </w:rPr>
        <w:drawing>
          <wp:inline distT="0" distB="0" distL="0" distR="0" wp14:anchorId="511E88C7" wp14:editId="4A441E40">
            <wp:extent cx="4663440" cy="2468880"/>
            <wp:effectExtent l="38100" t="38100" r="99060" b="1028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5C52" w:rsidRDefault="00DA6B77" w:rsidP="00965C52">
      <w:r>
        <w:t xml:space="preserve">The demographic make-up of PIC riders is </w:t>
      </w:r>
      <w:r w:rsidR="00115E00">
        <w:t xml:space="preserve">also </w:t>
      </w:r>
      <w:r>
        <w:t>broadly representative of all major race and ethnic groups</w:t>
      </w:r>
      <w:r w:rsidR="006528B7">
        <w:t xml:space="preserve"> in PIC’s three locations</w:t>
      </w:r>
      <w:r w:rsidR="00115E00">
        <w:t>.</w:t>
      </w:r>
      <w:r>
        <w:t xml:space="preserve"> </w:t>
      </w:r>
      <w:r w:rsidR="00115E00">
        <w:t xml:space="preserve">Seventy-five (75.3%) percent </w:t>
      </w:r>
      <w:r w:rsidR="00644FD2">
        <w:t>of all rides are delivered to</w:t>
      </w:r>
      <w:r w:rsidR="00115E00">
        <w:t xml:space="preserve"> white seniors, 18% (17.99%) to African American seniors, 2.5% to Hispanic members, and the remaining are distributed across Native American, Asi</w:t>
      </w:r>
      <w:r w:rsidR="00644FD2">
        <w:t xml:space="preserve">an and Middle-Eastern members.  The </w:t>
      </w:r>
      <w:r w:rsidR="006528B7">
        <w:t>age distribution of members</w:t>
      </w:r>
      <w:r w:rsidR="00644FD2">
        <w:t xml:space="preserve"> who receive transport assistance (or accompany members)</w:t>
      </w:r>
      <w:r w:rsidR="006528B7">
        <w:t xml:space="preserve"> </w:t>
      </w:r>
      <w:r w:rsidR="00644FD2">
        <w:t>is displayed on the following page</w:t>
      </w:r>
      <w:r w:rsidR="006528B7">
        <w:t xml:space="preserve">. </w:t>
      </w:r>
    </w:p>
    <w:p w:rsidR="001D47FD" w:rsidRDefault="001D47FD">
      <w:pPr>
        <w:rPr>
          <w:b/>
        </w:rPr>
      </w:pPr>
      <w:r w:rsidRPr="001D47FD">
        <w:rPr>
          <w:b/>
        </w:rPr>
        <w:t xml:space="preserve">NON-TRANSPORTATION SERVICES </w:t>
      </w:r>
    </w:p>
    <w:p w:rsidR="002B18A6" w:rsidRDefault="001D47FD">
      <w:r>
        <w:t>PIC is reputed to deliver not “just rides, but relationships” --- lifelong relationships</w:t>
      </w:r>
      <w:r w:rsidR="00644FD2">
        <w:t xml:space="preserve"> at that</w:t>
      </w:r>
      <w:r>
        <w:t xml:space="preserve">.  There are many opportunities for members to contribute their time, talents and skills, to assist their senior neighbors.  </w:t>
      </w:r>
      <w:r w:rsidR="00A04919">
        <w:t xml:space="preserve">When seniors become members, they are screened, interviewed and engaged to contribute in a variety of ways. Members can be volunteers in certain areas, and consumers in others, but all are engaged to participate in some area of the program.  </w:t>
      </w:r>
    </w:p>
    <w:p w:rsidR="00A04919" w:rsidRDefault="00A04919">
      <w:r>
        <w:t>The chart on the following page displays the number of tasks and hours of contributed</w:t>
      </w:r>
      <w:r w:rsidR="001C2FB9">
        <w:t xml:space="preserve"> time by members</w:t>
      </w:r>
      <w:r>
        <w:t xml:space="preserve"> to one of PIC’s non-transportation </w:t>
      </w:r>
      <w:r w:rsidR="001C2FB9">
        <w:t>programs</w:t>
      </w:r>
      <w:r>
        <w:t xml:space="preserve">. </w:t>
      </w:r>
      <w:r w:rsidR="001C2FB9">
        <w:t xml:space="preserve"> </w:t>
      </w:r>
      <w:r>
        <w:t xml:space="preserve">  </w:t>
      </w:r>
    </w:p>
    <w:p w:rsidR="004F3CE7" w:rsidRDefault="004F3CE7"/>
    <w:p w:rsidR="004F3CE7" w:rsidRDefault="004F3CE7">
      <w:r>
        <w:t xml:space="preserve">PIC’s transportation program is clearly the cornerstone of its overall enterprise.  Total trips in FY19 were 9750.   But the non-transportation components are also substantial. and usually are the ones that members can participate in, or take advantage of, once they become more familiar with the numerous ways each can contribute to, or avail themselves of, </w:t>
      </w:r>
      <w:r w:rsidR="00CB3112">
        <w:t xml:space="preserve">once they become part of </w:t>
      </w:r>
      <w:r>
        <w:t xml:space="preserve">the enterprise.  </w:t>
      </w:r>
      <w:r w:rsidR="00CB3112">
        <w:t xml:space="preserve"> These “other” program areas are typically ones around which “relationships” are formed throughout the program.  The “Total Trips &amp; Tasks” exhibit below shows that PIC members completed 7588 tasks in </w:t>
      </w:r>
    </w:p>
    <w:p w:rsidR="00644FD2" w:rsidRDefault="00644FD2" w:rsidP="00644FD2">
      <w:pPr>
        <w:jc w:val="center"/>
      </w:pPr>
      <w:r>
        <w:rPr>
          <w:noProof/>
        </w:rPr>
        <w:drawing>
          <wp:inline distT="0" distB="0" distL="0" distR="0" wp14:anchorId="0630C0CC" wp14:editId="7C67EC6F">
            <wp:extent cx="4114800" cy="2286000"/>
            <wp:effectExtent l="38100" t="38100" r="95250" b="952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04919">
        <w:t xml:space="preserve"> </w:t>
      </w:r>
    </w:p>
    <w:p w:rsidR="00CB3112" w:rsidRDefault="00CB3112" w:rsidP="00CB3112">
      <w:pPr>
        <w:ind w:left="1350"/>
      </w:pPr>
      <w:r>
        <w:rPr>
          <w:noProof/>
        </w:rPr>
        <w:drawing>
          <wp:inline distT="0" distB="0" distL="0" distR="0" wp14:anchorId="4251C248" wp14:editId="301A21C2">
            <wp:extent cx="4147185" cy="2531059"/>
            <wp:effectExtent l="38100" t="38100" r="100965" b="984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30FF" w:rsidRDefault="00CB3112">
      <w:r>
        <w:t xml:space="preserve">FY19.  </w:t>
      </w:r>
      <w:r w:rsidR="007D7494">
        <w:t>For these 7588 tasks, members volunteered 18,240 hours of their time. These hours represented 62% of the total</w:t>
      </w:r>
      <w:r w:rsidR="004730FF">
        <w:t xml:space="preserve"> program</w:t>
      </w:r>
      <w:r w:rsidR="007D7494">
        <w:t xml:space="preserve"> hours in FY19, </w:t>
      </w:r>
      <w:r w:rsidR="004730FF">
        <w:t xml:space="preserve">or </w:t>
      </w:r>
      <w:r w:rsidR="007D7494">
        <w:t>29,326</w:t>
      </w:r>
      <w:r w:rsidR="004730FF">
        <w:t xml:space="preserve"> hours</w:t>
      </w:r>
      <w:r w:rsidR="007D7494">
        <w:t xml:space="preserve">.  To understand how “relationships” are formed within PIC, one need only understand that non-transportation tasks account for </w:t>
      </w:r>
      <w:r w:rsidR="004730FF">
        <w:t xml:space="preserve">just </w:t>
      </w:r>
      <w:r w:rsidR="007D7494">
        <w:t>43% of total tasks</w:t>
      </w:r>
      <w:r w:rsidR="004730FF">
        <w:t xml:space="preserve"> completed</w:t>
      </w:r>
      <w:r w:rsidR="007D7494">
        <w:t xml:space="preserve">, but </w:t>
      </w:r>
      <w:r w:rsidR="004730FF">
        <w:t xml:space="preserve">they account for </w:t>
      </w:r>
      <w:r w:rsidR="007D7494">
        <w:t xml:space="preserve">nearly two-thirds of total hours volunteered. </w:t>
      </w:r>
      <w:r w:rsidR="004730FF">
        <w:t xml:space="preserve"> Thus, when members contribute to either Handyman, Member Care, or Program Help, these tasks average more than 2.5 </w:t>
      </w:r>
      <w:r w:rsidR="004730FF">
        <w:lastRenderedPageBreak/>
        <w:t xml:space="preserve">hours per task.  By contrast, rides delivered by volunteers typically average slightly more than one hour. Only certain members can be volunteer drivers, but all can contribute their time and talents so many other ways, to help their neighbors.  </w:t>
      </w:r>
    </w:p>
    <w:p w:rsidR="004730FF" w:rsidRPr="00E2113C" w:rsidRDefault="00E2113C">
      <w:pPr>
        <w:rPr>
          <w:b/>
        </w:rPr>
      </w:pPr>
      <w:r w:rsidRPr="00E2113C">
        <w:rPr>
          <w:b/>
        </w:rPr>
        <w:t>THE FUTURE – FY20</w:t>
      </w:r>
    </w:p>
    <w:p w:rsidR="0060121C" w:rsidRDefault="0060121C">
      <w:r>
        <w:t>Looking forward to FY20, PIC anticipates growth in the numbers of seniors served, but more importantly, in the depth and scope of relationships formed among its more than 3000 active members</w:t>
      </w:r>
      <w:r w:rsidR="00334A4B">
        <w:t>, and local stakeholders across Maryland, who share a commitment to helping seniors age in place</w:t>
      </w:r>
      <w:r>
        <w:t xml:space="preserve">. </w:t>
      </w:r>
    </w:p>
    <w:p w:rsidR="00CB3112" w:rsidRDefault="0060121C" w:rsidP="0060121C">
      <w:r>
        <w:t>Highlights of key initiatives either planned or already underway for FY20 are:</w:t>
      </w:r>
    </w:p>
    <w:p w:rsidR="0060121C" w:rsidRDefault="0060121C" w:rsidP="0060121C">
      <w:pPr>
        <w:pStyle w:val="ListParagraph"/>
        <w:numPr>
          <w:ilvl w:val="0"/>
          <w:numId w:val="4"/>
        </w:numPr>
      </w:pPr>
      <w:r>
        <w:t>Expans</w:t>
      </w:r>
      <w:r w:rsidR="006F164A">
        <w:t>ion of PIC’s</w:t>
      </w:r>
      <w:r>
        <w:t xml:space="preserve"> Executive Board and advisory board members in all service areas</w:t>
      </w:r>
    </w:p>
    <w:p w:rsidR="0060121C" w:rsidRDefault="0060121C" w:rsidP="0060121C">
      <w:pPr>
        <w:pStyle w:val="ListParagraph"/>
        <w:numPr>
          <w:ilvl w:val="0"/>
          <w:numId w:val="4"/>
        </w:numPr>
      </w:pPr>
      <w:r>
        <w:t>Key full time staff in all three locations, including a new chief of operations, marketing director, new site directors and site coordinators</w:t>
      </w:r>
    </w:p>
    <w:p w:rsidR="0060121C" w:rsidRDefault="0060121C" w:rsidP="0060121C">
      <w:pPr>
        <w:pStyle w:val="ListParagraph"/>
        <w:numPr>
          <w:ilvl w:val="0"/>
          <w:numId w:val="4"/>
        </w:numPr>
      </w:pPr>
      <w:r>
        <w:t>New mobility van services in Frederick</w:t>
      </w:r>
    </w:p>
    <w:p w:rsidR="0060121C" w:rsidRDefault="0060121C" w:rsidP="0060121C">
      <w:pPr>
        <w:pStyle w:val="ListParagraph"/>
        <w:numPr>
          <w:ilvl w:val="0"/>
          <w:numId w:val="4"/>
        </w:numPr>
      </w:pPr>
      <w:r>
        <w:t>New office location in Easton, Maryland</w:t>
      </w:r>
    </w:p>
    <w:p w:rsidR="0060121C" w:rsidRDefault="0060121C" w:rsidP="0060121C">
      <w:pPr>
        <w:pStyle w:val="ListParagraph"/>
        <w:numPr>
          <w:ilvl w:val="0"/>
          <w:numId w:val="4"/>
        </w:numPr>
      </w:pPr>
      <w:r>
        <w:t>New relationships with hospitals and human service organizations in all three areas, to focus with laser precision on improving the social determinants of health among the older adult community</w:t>
      </w:r>
    </w:p>
    <w:p w:rsidR="006F164A" w:rsidRDefault="006F164A" w:rsidP="0060121C">
      <w:pPr>
        <w:pStyle w:val="ListParagraph"/>
        <w:numPr>
          <w:ilvl w:val="0"/>
          <w:numId w:val="4"/>
        </w:numPr>
      </w:pPr>
      <w:r>
        <w:t>Addition of an expanded jewelry retail service in the central Boutique store in Pasadena, and</w:t>
      </w:r>
    </w:p>
    <w:p w:rsidR="006F164A" w:rsidRDefault="006F164A" w:rsidP="0060121C">
      <w:pPr>
        <w:pStyle w:val="ListParagraph"/>
        <w:numPr>
          <w:ilvl w:val="0"/>
          <w:numId w:val="4"/>
        </w:numPr>
      </w:pPr>
      <w:r>
        <w:t xml:space="preserve">Expansion of </w:t>
      </w:r>
      <w:r w:rsidR="00732A41">
        <w:t xml:space="preserve">streamlined, </w:t>
      </w:r>
      <w:r>
        <w:t>web-based, volunteer to volunteer, ride matching systems in all three service locations</w:t>
      </w:r>
    </w:p>
    <w:p w:rsidR="0084418A" w:rsidRDefault="00D81E31">
      <w:pPr>
        <w:rPr>
          <w:rFonts w:cstheme="minorHAnsi"/>
        </w:rPr>
      </w:pPr>
      <w:r w:rsidRPr="00D81E31">
        <w:rPr>
          <w:rFonts w:cstheme="minorHAnsi"/>
        </w:rPr>
        <w:t xml:space="preserve">Finally, one example of the anticipation that PIC holds for FY20, may best be captured by a new member, Greg, one of our new “Handymen/Handywomen” members. His volunteer spirit is truly extraordinary.  </w:t>
      </w:r>
      <w:r w:rsidRPr="00D81E31">
        <w:rPr>
          <w:rStyle w:val="formelementinstructions"/>
          <w:rFonts w:cstheme="minorHAnsi"/>
          <w:color w:val="333333"/>
          <w:shd w:val="clear" w:color="auto" w:fill="FFFFFF"/>
        </w:rPr>
        <w:t>Greg is 52.   He does carpentry, masonry, painting, plumbing, and computer repairs.  Oh, by the way, Greg is also wheel-chair limited. Yet, he drives himself to all job sites!  Greg doesn’t ask for service, he delivers it!  He also isn’t just a “handyman”, he mends hearts and spirits, by his mere presence!  There is NO cost for his efforts, but priceless, in its value and return, to himself and all PIC members whose life he touches!</w:t>
      </w:r>
      <w:r>
        <w:rPr>
          <w:rFonts w:cstheme="minorHAnsi"/>
        </w:rPr>
        <w:t xml:space="preserve"> </w:t>
      </w:r>
    </w:p>
    <w:p w:rsidR="0060121C" w:rsidRPr="0084418A" w:rsidRDefault="0084418A">
      <w:pPr>
        <w:rPr>
          <w:rFonts w:cstheme="minorHAnsi"/>
        </w:rPr>
      </w:pPr>
      <w:r w:rsidRPr="0084418A">
        <w:rPr>
          <w:rFonts w:cstheme="minorHAnsi"/>
        </w:rPr>
        <w:t>Greg’s story is inspirational to say the least.</w:t>
      </w:r>
      <w:r w:rsidRPr="0084418A">
        <w:rPr>
          <w:rStyle w:val="formelementinstructions"/>
          <w:rFonts w:cstheme="minorHAnsi"/>
          <w:color w:val="333333"/>
          <w:shd w:val="clear" w:color="auto" w:fill="FFFFFF"/>
        </w:rPr>
        <w:t xml:space="preserve"> But countless </w:t>
      </w:r>
      <w:r>
        <w:rPr>
          <w:rStyle w:val="formelementinstructions"/>
          <w:rFonts w:cstheme="minorHAnsi"/>
          <w:color w:val="333333"/>
          <w:shd w:val="clear" w:color="auto" w:fill="FFFFFF"/>
        </w:rPr>
        <w:t xml:space="preserve">other </w:t>
      </w:r>
      <w:r w:rsidRPr="0084418A">
        <w:rPr>
          <w:rStyle w:val="formelementinstructions"/>
          <w:rFonts w:cstheme="minorHAnsi"/>
          <w:color w:val="333333"/>
          <w:shd w:val="clear" w:color="auto" w:fill="FFFFFF"/>
        </w:rPr>
        <w:t>stories also come from PIC’s other volunteers -- drivers, member advocates, and program helpers!  All have unique skills, talents and energy to contribute ove</w:t>
      </w:r>
      <w:r w:rsidR="003115FF">
        <w:rPr>
          <w:rStyle w:val="formelementinstructions"/>
          <w:rFonts w:cstheme="minorHAnsi"/>
          <w:color w:val="333333"/>
          <w:shd w:val="clear" w:color="auto" w:fill="FFFFFF"/>
        </w:rPr>
        <w:t>r a lifetime,</w:t>
      </w:r>
      <w:r w:rsidRPr="0084418A">
        <w:rPr>
          <w:rStyle w:val="formelementinstructions"/>
          <w:rFonts w:cstheme="minorHAnsi"/>
          <w:color w:val="333333"/>
          <w:shd w:val="clear" w:color="auto" w:fill="FFFFFF"/>
        </w:rPr>
        <w:t xml:space="preserve"> and like “rides”, reach destinations and goals unimaginable when they begin.    </w:t>
      </w:r>
      <w:r w:rsidR="0060121C" w:rsidRPr="0084418A">
        <w:rPr>
          <w:rFonts w:cstheme="minorHAnsi"/>
        </w:rPr>
        <w:br w:type="page"/>
      </w:r>
    </w:p>
    <w:p w:rsidR="0060121C" w:rsidRDefault="0060121C" w:rsidP="0060121C"/>
    <w:p w:rsidR="00CB3112" w:rsidRDefault="00CB3112"/>
    <w:p w:rsidR="00644FD2" w:rsidRDefault="00644FD2"/>
    <w:p w:rsidR="003E5F06" w:rsidRDefault="003E5F06" w:rsidP="003E5F06"/>
    <w:p w:rsidR="003E5F06" w:rsidRDefault="003E5F06" w:rsidP="00046C2F">
      <w:pPr>
        <w:jc w:val="center"/>
        <w:rPr>
          <w:b/>
        </w:rPr>
      </w:pPr>
    </w:p>
    <w:p w:rsidR="001473C7" w:rsidRPr="00D016C8" w:rsidRDefault="00AD554F" w:rsidP="00046C2F">
      <w:pPr>
        <w:jc w:val="center"/>
        <w:rPr>
          <w:b/>
        </w:rPr>
      </w:pPr>
      <w:r w:rsidRPr="00D016C8">
        <w:rPr>
          <w:b/>
        </w:rPr>
        <w:t>COUNTS OF COMPLETED RIDES FOR FREDERICK PIC MEMBERS, BY LOCATION, FY19</w:t>
      </w:r>
    </w:p>
    <w:tbl>
      <w:tblPr>
        <w:tblStyle w:val="TableGrid"/>
        <w:tblW w:w="11184" w:type="dxa"/>
        <w:tblInd w:w="-815" w:type="dxa"/>
        <w:tblLook w:val="04A0" w:firstRow="1" w:lastRow="0" w:firstColumn="1" w:lastColumn="0" w:noHBand="0" w:noVBand="1"/>
      </w:tblPr>
      <w:tblGrid>
        <w:gridCol w:w="5388"/>
        <w:gridCol w:w="5796"/>
      </w:tblGrid>
      <w:tr w:rsidR="00AD554F" w:rsidTr="00644FD2">
        <w:trPr>
          <w:trHeight w:val="3168"/>
        </w:trPr>
        <w:tc>
          <w:tcPr>
            <w:tcW w:w="5388" w:type="dxa"/>
          </w:tcPr>
          <w:p w:rsidR="001473C7" w:rsidRDefault="001473C7" w:rsidP="001473C7">
            <w:r>
              <w:rPr>
                <w:noProof/>
              </w:rPr>
              <w:drawing>
                <wp:inline distT="0" distB="0" distL="0" distR="0" wp14:anchorId="69384133">
                  <wp:extent cx="3266734" cy="2957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871" cy="2976968"/>
                          </a:xfrm>
                          <a:prstGeom prst="rect">
                            <a:avLst/>
                          </a:prstGeom>
                          <a:noFill/>
                        </pic:spPr>
                      </pic:pic>
                    </a:graphicData>
                  </a:graphic>
                </wp:inline>
              </w:drawing>
            </w:r>
          </w:p>
        </w:tc>
        <w:tc>
          <w:tcPr>
            <w:tcW w:w="5796" w:type="dxa"/>
          </w:tcPr>
          <w:p w:rsidR="001473C7" w:rsidRDefault="001473C7" w:rsidP="001473C7">
            <w:r>
              <w:rPr>
                <w:noProof/>
              </w:rPr>
              <w:drawing>
                <wp:inline distT="0" distB="0" distL="0" distR="0" wp14:anchorId="68BB5574">
                  <wp:extent cx="3538220" cy="29578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167" cy="2977904"/>
                          </a:xfrm>
                          <a:prstGeom prst="rect">
                            <a:avLst/>
                          </a:prstGeom>
                          <a:noFill/>
                        </pic:spPr>
                      </pic:pic>
                    </a:graphicData>
                  </a:graphic>
                </wp:inline>
              </w:drawing>
            </w:r>
          </w:p>
        </w:tc>
      </w:tr>
    </w:tbl>
    <w:p w:rsidR="001473C7" w:rsidRDefault="001473C7" w:rsidP="00046C2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AD554F">
      <w:pPr>
        <w:jc w:val="center"/>
      </w:pPr>
    </w:p>
    <w:p w:rsidR="00D016C8" w:rsidRDefault="00D016C8" w:rsidP="00D016C8">
      <w:pPr>
        <w:jc w:val="center"/>
      </w:pPr>
    </w:p>
    <w:p w:rsidR="00D016C8" w:rsidRPr="00D016C8" w:rsidRDefault="00D016C8" w:rsidP="00D016C8">
      <w:pPr>
        <w:jc w:val="center"/>
        <w:rPr>
          <w:b/>
        </w:rPr>
      </w:pPr>
      <w:r w:rsidRPr="00D016C8">
        <w:rPr>
          <w:b/>
        </w:rPr>
        <w:t>COUNTS OF COMPLETED RIDES FOR AACO PIC MEMBERS, BY LOCATION, FY19</w:t>
      </w:r>
    </w:p>
    <w:tbl>
      <w:tblPr>
        <w:tblStyle w:val="TableGrid"/>
        <w:tblW w:w="11224" w:type="dxa"/>
        <w:tblInd w:w="-815" w:type="dxa"/>
        <w:tblLook w:val="04A0" w:firstRow="1" w:lastRow="0" w:firstColumn="1" w:lastColumn="0" w:noHBand="0" w:noVBand="1"/>
      </w:tblPr>
      <w:tblGrid>
        <w:gridCol w:w="5676"/>
        <w:gridCol w:w="5774"/>
      </w:tblGrid>
      <w:tr w:rsidR="00D016C8" w:rsidTr="00D016C8">
        <w:tc>
          <w:tcPr>
            <w:tcW w:w="5450" w:type="dxa"/>
          </w:tcPr>
          <w:p w:rsidR="00AD554F" w:rsidRDefault="00AD554F" w:rsidP="00AD554F">
            <w:r>
              <w:rPr>
                <w:noProof/>
              </w:rPr>
              <w:drawing>
                <wp:inline distT="0" distB="0" distL="0" distR="0" wp14:anchorId="460AF55D">
                  <wp:extent cx="3460741" cy="35661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0741" cy="3566160"/>
                          </a:xfrm>
                          <a:prstGeom prst="rect">
                            <a:avLst/>
                          </a:prstGeom>
                          <a:noFill/>
                        </pic:spPr>
                      </pic:pic>
                    </a:graphicData>
                  </a:graphic>
                </wp:inline>
              </w:drawing>
            </w:r>
          </w:p>
        </w:tc>
        <w:tc>
          <w:tcPr>
            <w:tcW w:w="5774" w:type="dxa"/>
          </w:tcPr>
          <w:p w:rsidR="00AD554F" w:rsidRDefault="00D016C8" w:rsidP="00AD554F">
            <w:r>
              <w:rPr>
                <w:noProof/>
              </w:rPr>
              <w:drawing>
                <wp:inline distT="0" distB="0" distL="0" distR="0" wp14:anchorId="68455D8D">
                  <wp:extent cx="3529709" cy="347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231" cy="3506736"/>
                          </a:xfrm>
                          <a:prstGeom prst="rect">
                            <a:avLst/>
                          </a:prstGeom>
                          <a:noFill/>
                        </pic:spPr>
                      </pic:pic>
                    </a:graphicData>
                  </a:graphic>
                </wp:inline>
              </w:drawing>
            </w:r>
          </w:p>
        </w:tc>
      </w:tr>
    </w:tbl>
    <w:p w:rsidR="00AD554F" w:rsidRDefault="00AD554F" w:rsidP="00AD554F">
      <w:pPr>
        <w:jc w:val="center"/>
      </w:pPr>
    </w:p>
    <w:p w:rsidR="00D016C8" w:rsidRDefault="00D016C8">
      <w:r>
        <w:br w:type="page"/>
      </w:r>
    </w:p>
    <w:p w:rsidR="00D016C8" w:rsidRDefault="00D016C8" w:rsidP="00AD554F">
      <w:pPr>
        <w:jc w:val="center"/>
      </w:pPr>
    </w:p>
    <w:p w:rsidR="003C1CE8" w:rsidRPr="00D016C8" w:rsidRDefault="003C1CE8" w:rsidP="003C1CE8">
      <w:pPr>
        <w:jc w:val="center"/>
        <w:rPr>
          <w:b/>
        </w:rPr>
      </w:pPr>
      <w:r w:rsidRPr="00D016C8">
        <w:rPr>
          <w:b/>
        </w:rPr>
        <w:t>COUNTS OF COMPLETED RIDES F</w:t>
      </w:r>
      <w:r>
        <w:rPr>
          <w:b/>
        </w:rPr>
        <w:t xml:space="preserve">OR UPPER SHORE </w:t>
      </w:r>
      <w:r w:rsidRPr="00D016C8">
        <w:rPr>
          <w:b/>
        </w:rPr>
        <w:t>PIC MEMBERS, BY LOCATION, FY19</w:t>
      </w:r>
    </w:p>
    <w:tbl>
      <w:tblPr>
        <w:tblStyle w:val="TableGrid"/>
        <w:tblW w:w="11276" w:type="dxa"/>
        <w:tblInd w:w="-995" w:type="dxa"/>
        <w:tblLook w:val="04A0" w:firstRow="1" w:lastRow="0" w:firstColumn="1" w:lastColumn="0" w:noHBand="0" w:noVBand="1"/>
      </w:tblPr>
      <w:tblGrid>
        <w:gridCol w:w="5676"/>
        <w:gridCol w:w="5600"/>
      </w:tblGrid>
      <w:tr w:rsidR="00D016C8" w:rsidTr="003C1CE8">
        <w:tc>
          <w:tcPr>
            <w:tcW w:w="5676" w:type="dxa"/>
          </w:tcPr>
          <w:p w:rsidR="00D016C8" w:rsidRDefault="00D016C8" w:rsidP="00D016C8">
            <w:pPr>
              <w:ind w:right="-284"/>
            </w:pPr>
            <w:r>
              <w:rPr>
                <w:noProof/>
              </w:rPr>
              <w:drawing>
                <wp:inline distT="0" distB="0" distL="0" distR="0" wp14:anchorId="681FEC98">
                  <wp:extent cx="3462031" cy="306070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448" cy="3074330"/>
                          </a:xfrm>
                          <a:prstGeom prst="rect">
                            <a:avLst/>
                          </a:prstGeom>
                          <a:noFill/>
                        </pic:spPr>
                      </pic:pic>
                    </a:graphicData>
                  </a:graphic>
                </wp:inline>
              </w:drawing>
            </w:r>
          </w:p>
        </w:tc>
        <w:tc>
          <w:tcPr>
            <w:tcW w:w="5600" w:type="dxa"/>
          </w:tcPr>
          <w:p w:rsidR="00D016C8" w:rsidRDefault="00D016C8" w:rsidP="00D016C8">
            <w:r>
              <w:rPr>
                <w:noProof/>
              </w:rPr>
              <w:drawing>
                <wp:inline distT="0" distB="0" distL="0" distR="0" wp14:anchorId="253CF8DA" wp14:editId="2F238AC1">
                  <wp:extent cx="3419061" cy="305994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086" t="27998" r="1250" b="8787"/>
                          <a:stretch/>
                        </pic:blipFill>
                        <pic:spPr bwMode="auto">
                          <a:xfrm>
                            <a:off x="0" y="0"/>
                            <a:ext cx="3436652" cy="3075689"/>
                          </a:xfrm>
                          <a:prstGeom prst="rect">
                            <a:avLst/>
                          </a:prstGeom>
                          <a:ln>
                            <a:noFill/>
                          </a:ln>
                          <a:extLst>
                            <a:ext uri="{53640926-AAD7-44D8-BBD7-CCE9431645EC}">
                              <a14:shadowObscured xmlns:a14="http://schemas.microsoft.com/office/drawing/2010/main"/>
                            </a:ext>
                          </a:extLst>
                        </pic:spPr>
                      </pic:pic>
                    </a:graphicData>
                  </a:graphic>
                </wp:inline>
              </w:drawing>
            </w:r>
          </w:p>
        </w:tc>
      </w:tr>
    </w:tbl>
    <w:p w:rsidR="00D016C8" w:rsidRDefault="00D016C8" w:rsidP="00D016C8"/>
    <w:p w:rsidR="00AD554F" w:rsidRDefault="00AD554F" w:rsidP="00AD554F">
      <w:pPr>
        <w:jc w:val="center"/>
      </w:pPr>
    </w:p>
    <w:p w:rsidR="00046C2F" w:rsidRDefault="00046C2F" w:rsidP="00046C2F">
      <w:pPr>
        <w:jc w:val="center"/>
      </w:pPr>
    </w:p>
    <w:p w:rsidR="00046C2F" w:rsidRDefault="00046C2F" w:rsidP="00046C2F">
      <w:pPr>
        <w:jc w:val="center"/>
      </w:pPr>
    </w:p>
    <w:p w:rsidR="00046C2F" w:rsidRDefault="00046C2F" w:rsidP="00872D2B">
      <w:pPr>
        <w:jc w:val="center"/>
        <w:rPr>
          <w:sz w:val="36"/>
          <w:szCs w:val="36"/>
        </w:rPr>
      </w:pPr>
    </w:p>
    <w:p w:rsidR="00046C2F" w:rsidRDefault="00046C2F" w:rsidP="00872D2B">
      <w:pPr>
        <w:jc w:val="center"/>
        <w:rPr>
          <w:sz w:val="36"/>
          <w:szCs w:val="36"/>
        </w:rPr>
      </w:pPr>
    </w:p>
    <w:p w:rsidR="00046C2F" w:rsidRDefault="00046C2F" w:rsidP="00872D2B">
      <w:pPr>
        <w:jc w:val="center"/>
        <w:rPr>
          <w:sz w:val="36"/>
          <w:szCs w:val="36"/>
        </w:rPr>
      </w:pPr>
    </w:p>
    <w:p w:rsidR="00872D2B" w:rsidRPr="00872D2B" w:rsidRDefault="00872D2B" w:rsidP="00872D2B">
      <w:pPr>
        <w:jc w:val="center"/>
        <w:rPr>
          <w:sz w:val="36"/>
          <w:szCs w:val="36"/>
        </w:rPr>
      </w:pPr>
    </w:p>
    <w:p w:rsidR="00872D2B" w:rsidRDefault="00872D2B"/>
    <w:sectPr w:rsidR="00872D2B" w:rsidSect="002B51A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17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7EF" w:rsidRDefault="00A007EF" w:rsidP="00872D2B">
      <w:pPr>
        <w:spacing w:after="0" w:line="240" w:lineRule="auto"/>
      </w:pPr>
      <w:r>
        <w:separator/>
      </w:r>
    </w:p>
  </w:endnote>
  <w:endnote w:type="continuationSeparator" w:id="0">
    <w:p w:rsidR="00A007EF" w:rsidRDefault="00A007EF" w:rsidP="0087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E31" w:rsidRDefault="00D81E3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328192"/>
      <w:docPartObj>
        <w:docPartGallery w:val="Page Numbers (Bottom of Page)"/>
        <w:docPartUnique/>
      </w:docPartObj>
    </w:sdtPr>
    <w:sdtEndPr>
      <w:rPr>
        <w:noProof/>
      </w:rPr>
    </w:sdtEndPr>
    <w:sdtContent>
      <w:p w:rsidR="00D14F04" w:rsidRDefault="00D14F04">
        <w:pPr>
          <w:pStyle w:val="Footer"/>
          <w:jc w:val="right"/>
        </w:pPr>
        <w:r>
          <w:fldChar w:fldCharType="begin"/>
        </w:r>
        <w:r>
          <w:instrText xml:space="preserve"> PAGE   \* MERGEFORMAT </w:instrText>
        </w:r>
        <w:r>
          <w:fldChar w:fldCharType="separate"/>
        </w:r>
        <w:r w:rsidR="00DB5A82">
          <w:rPr>
            <w:noProof/>
          </w:rPr>
          <w:t>2</w:t>
        </w:r>
        <w:r>
          <w:rPr>
            <w:noProof/>
          </w:rPr>
          <w:fldChar w:fldCharType="end"/>
        </w:r>
      </w:p>
    </w:sdtContent>
  </w:sdt>
  <w:p w:rsidR="00D14F04" w:rsidRDefault="00D14F0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E31" w:rsidRDefault="00D81E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7EF" w:rsidRDefault="00A007EF" w:rsidP="00872D2B">
      <w:pPr>
        <w:spacing w:after="0" w:line="240" w:lineRule="auto"/>
      </w:pPr>
      <w:r>
        <w:separator/>
      </w:r>
    </w:p>
  </w:footnote>
  <w:footnote w:type="continuationSeparator" w:id="0">
    <w:p w:rsidR="00A007EF" w:rsidRDefault="00A007EF" w:rsidP="00872D2B">
      <w:pPr>
        <w:spacing w:after="0" w:line="240" w:lineRule="auto"/>
      </w:pPr>
      <w:r>
        <w:continuationSeparator/>
      </w:r>
    </w:p>
  </w:footnote>
  <w:footnote w:id="1">
    <w:p w:rsidR="007D5A36" w:rsidRDefault="007D5A36">
      <w:pPr>
        <w:pStyle w:val="FootnoteText"/>
      </w:pPr>
      <w:r>
        <w:rPr>
          <w:rStyle w:val="FootnoteReference"/>
        </w:rPr>
        <w:footnoteRef/>
      </w:r>
      <w:r>
        <w:t xml:space="preserve"> Roughly one-third of PIC members choose not to report their monthly income.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E31" w:rsidRDefault="00D81E3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2B" w:rsidRDefault="00872D2B">
    <w:pPr>
      <w:pStyle w:val="Header"/>
    </w:pPr>
    <w:r>
      <w:rPr>
        <w:noProof/>
      </w:rPr>
      <w:drawing>
        <wp:inline distT="0" distB="0" distL="0" distR="0" wp14:anchorId="49B7D989">
          <wp:extent cx="883920" cy="792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874" cy="849818"/>
                  </a:xfrm>
                  <a:prstGeom prst="rect">
                    <a:avLst/>
                  </a:prstGeom>
                  <a:noFill/>
                </pic:spPr>
              </pic:pic>
            </a:graphicData>
          </a:graphic>
        </wp:inline>
      </w:drawing>
    </w:r>
  </w:p>
  <w:p w:rsidR="00872D2B" w:rsidRDefault="00872D2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E31" w:rsidRDefault="00D81E3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813E8"/>
    <w:multiLevelType w:val="hybridMultilevel"/>
    <w:tmpl w:val="D868A4B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5A6B7120"/>
    <w:multiLevelType w:val="hybridMultilevel"/>
    <w:tmpl w:val="3534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1D78"/>
    <w:multiLevelType w:val="hybridMultilevel"/>
    <w:tmpl w:val="6B6A5C08"/>
    <w:lvl w:ilvl="0" w:tplc="04090001">
      <w:start w:val="1"/>
      <w:numFmt w:val="bullet"/>
      <w:lvlText w:val=""/>
      <w:lvlJc w:val="left"/>
      <w:pPr>
        <w:ind w:left="3796" w:hanging="360"/>
      </w:pPr>
      <w:rPr>
        <w:rFonts w:ascii="Symbol" w:hAnsi="Symbol" w:hint="default"/>
      </w:rPr>
    </w:lvl>
    <w:lvl w:ilvl="1" w:tplc="04090003" w:tentative="1">
      <w:start w:val="1"/>
      <w:numFmt w:val="bullet"/>
      <w:lvlText w:val="o"/>
      <w:lvlJc w:val="left"/>
      <w:pPr>
        <w:ind w:left="4516" w:hanging="360"/>
      </w:pPr>
      <w:rPr>
        <w:rFonts w:ascii="Courier New" w:hAnsi="Courier New" w:cs="Courier New" w:hint="default"/>
      </w:rPr>
    </w:lvl>
    <w:lvl w:ilvl="2" w:tplc="04090005" w:tentative="1">
      <w:start w:val="1"/>
      <w:numFmt w:val="bullet"/>
      <w:lvlText w:val=""/>
      <w:lvlJc w:val="left"/>
      <w:pPr>
        <w:ind w:left="5236" w:hanging="360"/>
      </w:pPr>
      <w:rPr>
        <w:rFonts w:ascii="Wingdings" w:hAnsi="Wingdings" w:hint="default"/>
      </w:rPr>
    </w:lvl>
    <w:lvl w:ilvl="3" w:tplc="04090001" w:tentative="1">
      <w:start w:val="1"/>
      <w:numFmt w:val="bullet"/>
      <w:lvlText w:val=""/>
      <w:lvlJc w:val="left"/>
      <w:pPr>
        <w:ind w:left="5956" w:hanging="360"/>
      </w:pPr>
      <w:rPr>
        <w:rFonts w:ascii="Symbol" w:hAnsi="Symbol" w:hint="default"/>
      </w:rPr>
    </w:lvl>
    <w:lvl w:ilvl="4" w:tplc="04090003" w:tentative="1">
      <w:start w:val="1"/>
      <w:numFmt w:val="bullet"/>
      <w:lvlText w:val="o"/>
      <w:lvlJc w:val="left"/>
      <w:pPr>
        <w:ind w:left="6676" w:hanging="360"/>
      </w:pPr>
      <w:rPr>
        <w:rFonts w:ascii="Courier New" w:hAnsi="Courier New" w:cs="Courier New" w:hint="default"/>
      </w:rPr>
    </w:lvl>
    <w:lvl w:ilvl="5" w:tplc="04090005" w:tentative="1">
      <w:start w:val="1"/>
      <w:numFmt w:val="bullet"/>
      <w:lvlText w:val=""/>
      <w:lvlJc w:val="left"/>
      <w:pPr>
        <w:ind w:left="7396" w:hanging="360"/>
      </w:pPr>
      <w:rPr>
        <w:rFonts w:ascii="Wingdings" w:hAnsi="Wingdings" w:hint="default"/>
      </w:rPr>
    </w:lvl>
    <w:lvl w:ilvl="6" w:tplc="04090001" w:tentative="1">
      <w:start w:val="1"/>
      <w:numFmt w:val="bullet"/>
      <w:lvlText w:val=""/>
      <w:lvlJc w:val="left"/>
      <w:pPr>
        <w:ind w:left="8116" w:hanging="360"/>
      </w:pPr>
      <w:rPr>
        <w:rFonts w:ascii="Symbol" w:hAnsi="Symbol" w:hint="default"/>
      </w:rPr>
    </w:lvl>
    <w:lvl w:ilvl="7" w:tplc="04090003" w:tentative="1">
      <w:start w:val="1"/>
      <w:numFmt w:val="bullet"/>
      <w:lvlText w:val="o"/>
      <w:lvlJc w:val="left"/>
      <w:pPr>
        <w:ind w:left="8836" w:hanging="360"/>
      </w:pPr>
      <w:rPr>
        <w:rFonts w:ascii="Courier New" w:hAnsi="Courier New" w:cs="Courier New" w:hint="default"/>
      </w:rPr>
    </w:lvl>
    <w:lvl w:ilvl="8" w:tplc="04090005" w:tentative="1">
      <w:start w:val="1"/>
      <w:numFmt w:val="bullet"/>
      <w:lvlText w:val=""/>
      <w:lvlJc w:val="left"/>
      <w:pPr>
        <w:ind w:left="9556" w:hanging="360"/>
      </w:pPr>
      <w:rPr>
        <w:rFonts w:ascii="Wingdings" w:hAnsi="Wingdings" w:hint="default"/>
      </w:rPr>
    </w:lvl>
  </w:abstractNum>
  <w:abstractNum w:abstractNumId="3" w15:restartNumberingAfterBreak="0">
    <w:nsid w:val="762C433D"/>
    <w:multiLevelType w:val="hybridMultilevel"/>
    <w:tmpl w:val="82B2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D2B"/>
    <w:rsid w:val="00022638"/>
    <w:rsid w:val="00043969"/>
    <w:rsid w:val="00046C2F"/>
    <w:rsid w:val="000D7C04"/>
    <w:rsid w:val="00115E00"/>
    <w:rsid w:val="001473C7"/>
    <w:rsid w:val="0016155F"/>
    <w:rsid w:val="001C2FB9"/>
    <w:rsid w:val="001D47FD"/>
    <w:rsid w:val="002261A9"/>
    <w:rsid w:val="002B18A6"/>
    <w:rsid w:val="002B51AB"/>
    <w:rsid w:val="002F24B5"/>
    <w:rsid w:val="003115FF"/>
    <w:rsid w:val="00333E44"/>
    <w:rsid w:val="00334A4B"/>
    <w:rsid w:val="00352C67"/>
    <w:rsid w:val="00357945"/>
    <w:rsid w:val="003C1CE8"/>
    <w:rsid w:val="003E5F06"/>
    <w:rsid w:val="003F054C"/>
    <w:rsid w:val="00430443"/>
    <w:rsid w:val="004401E5"/>
    <w:rsid w:val="004568DB"/>
    <w:rsid w:val="0047224A"/>
    <w:rsid w:val="004730FF"/>
    <w:rsid w:val="004807EC"/>
    <w:rsid w:val="00493843"/>
    <w:rsid w:val="004F3CE7"/>
    <w:rsid w:val="00533AD9"/>
    <w:rsid w:val="00571BCB"/>
    <w:rsid w:val="0060121C"/>
    <w:rsid w:val="00610D60"/>
    <w:rsid w:val="00642AAD"/>
    <w:rsid w:val="00644FD2"/>
    <w:rsid w:val="006528B7"/>
    <w:rsid w:val="00693A58"/>
    <w:rsid w:val="006F164A"/>
    <w:rsid w:val="00732A41"/>
    <w:rsid w:val="007739C6"/>
    <w:rsid w:val="007812CF"/>
    <w:rsid w:val="007C0CA6"/>
    <w:rsid w:val="007D5A36"/>
    <w:rsid w:val="007D7494"/>
    <w:rsid w:val="00816E1D"/>
    <w:rsid w:val="0084418A"/>
    <w:rsid w:val="0087206A"/>
    <w:rsid w:val="00872D2B"/>
    <w:rsid w:val="008E0B1B"/>
    <w:rsid w:val="00916785"/>
    <w:rsid w:val="00931B53"/>
    <w:rsid w:val="00965C52"/>
    <w:rsid w:val="009B0E0B"/>
    <w:rsid w:val="00A007EF"/>
    <w:rsid w:val="00A04919"/>
    <w:rsid w:val="00A06425"/>
    <w:rsid w:val="00A245D7"/>
    <w:rsid w:val="00AB4429"/>
    <w:rsid w:val="00AD554F"/>
    <w:rsid w:val="00B05A1F"/>
    <w:rsid w:val="00B5302B"/>
    <w:rsid w:val="00B709DA"/>
    <w:rsid w:val="00BA6C31"/>
    <w:rsid w:val="00BA6C4D"/>
    <w:rsid w:val="00C02CCA"/>
    <w:rsid w:val="00CB3112"/>
    <w:rsid w:val="00D016C8"/>
    <w:rsid w:val="00D14F04"/>
    <w:rsid w:val="00D41B2A"/>
    <w:rsid w:val="00D81E31"/>
    <w:rsid w:val="00DA6B77"/>
    <w:rsid w:val="00DA71B6"/>
    <w:rsid w:val="00DB5A82"/>
    <w:rsid w:val="00E2113C"/>
    <w:rsid w:val="00EA0840"/>
    <w:rsid w:val="00EF10F3"/>
    <w:rsid w:val="00FE0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70B0F5-E60C-4640-8E71-667D2BE1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D2B"/>
  </w:style>
  <w:style w:type="paragraph" w:styleId="Footer">
    <w:name w:val="footer"/>
    <w:basedOn w:val="Normal"/>
    <w:link w:val="FooterChar"/>
    <w:uiPriority w:val="99"/>
    <w:unhideWhenUsed/>
    <w:rsid w:val="00872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D2B"/>
  </w:style>
  <w:style w:type="table" w:styleId="TableGrid">
    <w:name w:val="Table Grid"/>
    <w:basedOn w:val="TableNormal"/>
    <w:uiPriority w:val="39"/>
    <w:rsid w:val="0014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E0F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FBC"/>
    <w:rPr>
      <w:sz w:val="20"/>
      <w:szCs w:val="20"/>
    </w:rPr>
  </w:style>
  <w:style w:type="character" w:styleId="FootnoteReference">
    <w:name w:val="footnote reference"/>
    <w:basedOn w:val="DefaultParagraphFont"/>
    <w:uiPriority w:val="99"/>
    <w:semiHidden/>
    <w:unhideWhenUsed/>
    <w:rsid w:val="00FE0FBC"/>
    <w:rPr>
      <w:vertAlign w:val="superscript"/>
    </w:rPr>
  </w:style>
  <w:style w:type="paragraph" w:styleId="ListParagraph">
    <w:name w:val="List Paragraph"/>
    <w:basedOn w:val="Normal"/>
    <w:uiPriority w:val="34"/>
    <w:qFormat/>
    <w:rsid w:val="00AB4429"/>
    <w:pPr>
      <w:ind w:left="720"/>
      <w:contextualSpacing/>
    </w:pPr>
  </w:style>
  <w:style w:type="character" w:customStyle="1" w:styleId="formelementinstructions">
    <w:name w:val="formelementinstructions"/>
    <w:basedOn w:val="DefaultParagraphFont"/>
    <w:rsid w:val="00D81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IC-user4\Documents\1%20A%20B%20PIC%20Metrics%20&amp;%20Status\1%20A%20A%20KEY%20Socio-%20Demographic%20Profiles\EOY%20FY19%20Reports\FY19%20Trip%20Metrics%20All%20Sites%200819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IC-user4\Documents\1%20A%20B%20PIC%20Metrics%20&amp;%20Status\1%20A%20A%20KEY%20Socio-%20Demographic%20Profiles\EOY%20FY19%20Reports\FY19%20Trip%20Metrics%20All%20Sites%20081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IC-user4\Documents\1%20A%20ACTIVE%20GRANTS%20FY2019\Hirschorn%20Foundation\6%20Deliverables%20&amp;%20Reports\Hirshorn%20FY19%20Report%20Ride%20Partners%20081619%2017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IC-user4\Documents\1%20A%20ACTIVE%20GRANTS%20FY2019\Hirschorn%20Foundation\6%20Deliverables%20&amp;%20Reports\Hirshorn%20FY19%20Report%20Ride%20Partners%20081619%20170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IC-user4\Documents\1%20A%20ACTIVE%20GRANTS%20FY2019\Hirschorn%20Foundation\6%20Deliverables%20&amp;%20Reports\Hirshorn%20FY19%20Report%20Ride%20Partners%20081619%2017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IC-user4\Documents\1%20A%20B%20PIC%20Metrics%20&amp;%20Status\1%20A%20A%20KEY%20Socio-%20Demographic%20Profiles\EOY%20FY19%20Reports\EOY%20Metrics%20All%20Sites%2008201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100" b="1" baseline="0">
                <a:latin typeface="+mn-lt"/>
              </a:rPr>
              <a:t>"Core" Metrics, PIC Transportation Program, FY18 vs FY19  </a:t>
            </a:r>
            <a:endParaRPr lang="en-US" sz="1100" b="1">
              <a:latin typeface="+mn-l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'Summary FY18 vs FY19'!$D$3</c:f>
              <c:strCache>
                <c:ptCount val="1"/>
                <c:pt idx="0">
                  <c:v>FY18</c:v>
                </c:pt>
              </c:strCache>
            </c:strRef>
          </c:tx>
          <c:spPr>
            <a:solidFill>
              <a:schemeClr val="accent1"/>
            </a:solidFill>
            <a:ln>
              <a:noFill/>
            </a:ln>
            <a:effectLst/>
            <a:sp3d/>
          </c:spPr>
          <c:invertIfNegative val="0"/>
          <c:dLbls>
            <c:dLbl>
              <c:idx val="0"/>
              <c:layout>
                <c:manualLayout>
                  <c:x val="-1.3888888888888888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F-43FE-9A22-FC8C14A00524}"/>
                </c:ext>
              </c:extLst>
            </c:dLbl>
            <c:dLbl>
              <c:idx val="1"/>
              <c:layout>
                <c:manualLayout>
                  <c:x val="-4.166666666666672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F-43FE-9A22-FC8C14A00524}"/>
                </c:ext>
              </c:extLst>
            </c:dLbl>
            <c:dLbl>
              <c:idx val="2"/>
              <c:layout>
                <c:manualLayout>
                  <c:x val="-5.833333333333338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F-43FE-9A22-FC8C14A00524}"/>
                </c:ext>
              </c:extLst>
            </c:dLbl>
            <c:dLbl>
              <c:idx val="3"/>
              <c:layout>
                <c:manualLayout>
                  <c:x val="-1.9444444444444445E-2"/>
                  <c:y val="-6.2687226691094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F-43FE-9A22-FC8C14A00524}"/>
                </c:ext>
              </c:extLst>
            </c:dLbl>
            <c:dLbl>
              <c:idx val="4"/>
              <c:layout>
                <c:manualLayout>
                  <c:x val="-8.3333333333334356E-3"/>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F-43FE-9A22-FC8C14A005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FY18 vs FY19'!$C$4:$C$8</c:f>
              <c:strCache>
                <c:ptCount val="5"/>
                <c:pt idx="0">
                  <c:v># Trips </c:v>
                </c:pt>
                <c:pt idx="1">
                  <c:v># Volunteer Hours</c:v>
                </c:pt>
                <c:pt idx="2">
                  <c:v># Miles Driven</c:v>
                </c:pt>
                <c:pt idx="3">
                  <c:v># Riders</c:v>
                </c:pt>
                <c:pt idx="4">
                  <c:v># Drivers</c:v>
                </c:pt>
              </c:strCache>
            </c:strRef>
          </c:cat>
          <c:val>
            <c:numRef>
              <c:f>'Summary FY18 vs FY19'!$D$4:$D$8</c:f>
              <c:numCache>
                <c:formatCode>General</c:formatCode>
                <c:ptCount val="5"/>
                <c:pt idx="0">
                  <c:v>15034</c:v>
                </c:pt>
                <c:pt idx="1">
                  <c:v>12190</c:v>
                </c:pt>
                <c:pt idx="2">
                  <c:v>146064</c:v>
                </c:pt>
                <c:pt idx="3">
                  <c:v>667</c:v>
                </c:pt>
                <c:pt idx="4">
                  <c:v>346</c:v>
                </c:pt>
              </c:numCache>
            </c:numRef>
          </c:val>
          <c:extLst>
            <c:ext xmlns:c16="http://schemas.microsoft.com/office/drawing/2014/chart" uri="{C3380CC4-5D6E-409C-BE32-E72D297353CC}">
              <c16:uniqueId val="{00000005-332F-43FE-9A22-FC8C14A00524}"/>
            </c:ext>
          </c:extLst>
        </c:ser>
        <c:ser>
          <c:idx val="1"/>
          <c:order val="1"/>
          <c:tx>
            <c:strRef>
              <c:f>'Summary FY18 vs FY19'!$E$3</c:f>
              <c:strCache>
                <c:ptCount val="1"/>
                <c:pt idx="0">
                  <c:v>FY19</c:v>
                </c:pt>
              </c:strCache>
            </c:strRef>
          </c:tx>
          <c:spPr>
            <a:solidFill>
              <a:schemeClr val="accent2"/>
            </a:solidFill>
            <a:ln>
              <a:noFill/>
            </a:ln>
            <a:effectLst/>
            <a:sp3d/>
          </c:spPr>
          <c:invertIfNegative val="0"/>
          <c:dLbls>
            <c:dLbl>
              <c:idx val="0"/>
              <c:layout>
                <c:manualLayout>
                  <c:x val="8.3333333333333332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2F-43FE-9A22-FC8C14A00524}"/>
                </c:ext>
              </c:extLst>
            </c:dLbl>
            <c:dLbl>
              <c:idx val="1"/>
              <c:layout>
                <c:manualLayout>
                  <c:x val="1.666666666666661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2F-43FE-9A22-FC8C14A00524}"/>
                </c:ext>
              </c:extLst>
            </c:dLbl>
            <c:dLbl>
              <c:idx val="2"/>
              <c:layout>
                <c:manualLayout>
                  <c:x val="7.2222222222222215E-2"/>
                  <c:y val="-2.7465613719106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2F-43FE-9A22-FC8C14A00524}"/>
                </c:ext>
              </c:extLst>
            </c:dLbl>
            <c:dLbl>
              <c:idx val="3"/>
              <c:layout>
                <c:manualLayout>
                  <c:x val="2.7777777777777779E-3"/>
                  <c:y val="-0.10028807374687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2F-43FE-9A22-FC8C14A00524}"/>
                </c:ext>
              </c:extLst>
            </c:dLbl>
            <c:dLbl>
              <c:idx val="4"/>
              <c:layout>
                <c:manualLayout>
                  <c:x val="1.6666666666666666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2F-43FE-9A22-FC8C14A005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FY18 vs FY19'!$C$4:$C$8</c:f>
              <c:strCache>
                <c:ptCount val="5"/>
                <c:pt idx="0">
                  <c:v># Trips </c:v>
                </c:pt>
                <c:pt idx="1">
                  <c:v># Volunteer Hours</c:v>
                </c:pt>
                <c:pt idx="2">
                  <c:v># Miles Driven</c:v>
                </c:pt>
                <c:pt idx="3">
                  <c:v># Riders</c:v>
                </c:pt>
                <c:pt idx="4">
                  <c:v># Drivers</c:v>
                </c:pt>
              </c:strCache>
            </c:strRef>
          </c:cat>
          <c:val>
            <c:numRef>
              <c:f>'Summary FY18 vs FY19'!$E$4:$E$8</c:f>
              <c:numCache>
                <c:formatCode>0</c:formatCode>
                <c:ptCount val="5"/>
                <c:pt idx="0" formatCode="General">
                  <c:v>15691</c:v>
                </c:pt>
                <c:pt idx="1">
                  <c:v>13529.344399999998</c:v>
                </c:pt>
                <c:pt idx="2">
                  <c:v>169577.00039999993</c:v>
                </c:pt>
                <c:pt idx="3" formatCode="General">
                  <c:v>770.99999999999409</c:v>
                </c:pt>
                <c:pt idx="4" formatCode="General">
                  <c:v>315.00000000000051</c:v>
                </c:pt>
              </c:numCache>
            </c:numRef>
          </c:val>
          <c:extLst>
            <c:ext xmlns:c16="http://schemas.microsoft.com/office/drawing/2014/chart" uri="{C3380CC4-5D6E-409C-BE32-E72D297353CC}">
              <c16:uniqueId val="{0000000B-332F-43FE-9A22-FC8C14A00524}"/>
            </c:ext>
          </c:extLst>
        </c:ser>
        <c:dLbls>
          <c:showLegendKey val="0"/>
          <c:showVal val="1"/>
          <c:showCatName val="0"/>
          <c:showSerName val="0"/>
          <c:showPercent val="0"/>
          <c:showBubbleSize val="0"/>
        </c:dLbls>
        <c:gapWidth val="150"/>
        <c:shape val="box"/>
        <c:axId val="689768496"/>
        <c:axId val="466705608"/>
        <c:axId val="0"/>
      </c:bar3DChart>
      <c:catAx>
        <c:axId val="68976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466705608"/>
        <c:crosses val="autoZero"/>
        <c:auto val="1"/>
        <c:lblAlgn val="ctr"/>
        <c:lblOffset val="100"/>
        <c:noMultiLvlLbl val="0"/>
      </c:catAx>
      <c:valAx>
        <c:axId val="46670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en-US" b="1" baseline="0"/>
                  <a:t> Units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976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a:t>
            </a:r>
            <a:r>
              <a:rPr lang="en-US" sz="1200" b="1" baseline="0"/>
              <a:t> PIC Trip Requests Fullfilled, by Site, FY19</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'PIvot FY19 Rides'!$B$20</c:f>
              <c:strCache>
                <c:ptCount val="1"/>
                <c:pt idx="0">
                  <c:v>Anne Arundel</c:v>
                </c:pt>
              </c:strCache>
            </c:strRef>
          </c:tx>
          <c:spPr>
            <a:solidFill>
              <a:schemeClr val="accent1"/>
            </a:solidFill>
            <a:ln>
              <a:noFill/>
            </a:ln>
            <a:effectLst/>
            <a:sp3d/>
          </c:spPr>
          <c:invertIfNegative val="0"/>
          <c:dLbls>
            <c:dLbl>
              <c:idx val="0"/>
              <c:layout>
                <c:manualLayout>
                  <c:x val="-8.3333333333333835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2D-4168-8458-C0E1FA682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Rides'!$C$19:$E$19</c:f>
              <c:strCache>
                <c:ptCount val="1"/>
                <c:pt idx="0">
                  <c:v>% Trips Fulfilled</c:v>
                </c:pt>
              </c:strCache>
            </c:strRef>
          </c:cat>
          <c:val>
            <c:numRef>
              <c:f>'PIvot FY19 Rides'!$C$20:$E$20</c:f>
              <c:numCache>
                <c:formatCode>0.0%</c:formatCode>
                <c:ptCount val="1"/>
                <c:pt idx="0">
                  <c:v>0.90856970428485218</c:v>
                </c:pt>
              </c:numCache>
            </c:numRef>
          </c:val>
          <c:extLst>
            <c:ext xmlns:c16="http://schemas.microsoft.com/office/drawing/2014/chart" uri="{C3380CC4-5D6E-409C-BE32-E72D297353CC}">
              <c16:uniqueId val="{00000001-302D-4168-8458-C0E1FA68251C}"/>
            </c:ext>
          </c:extLst>
        </c:ser>
        <c:ser>
          <c:idx val="1"/>
          <c:order val="1"/>
          <c:tx>
            <c:strRef>
              <c:f>'PIvot FY19 Rides'!$B$21</c:f>
              <c:strCache>
                <c:ptCount val="1"/>
                <c:pt idx="0">
                  <c:v>Frederick</c:v>
                </c:pt>
              </c:strCache>
            </c:strRef>
          </c:tx>
          <c:spPr>
            <a:solidFill>
              <a:schemeClr val="accent2"/>
            </a:solidFill>
            <a:ln>
              <a:noFill/>
            </a:ln>
            <a:effectLst/>
            <a:sp3d/>
          </c:spPr>
          <c:invertIfNegative val="0"/>
          <c:dLbls>
            <c:dLbl>
              <c:idx val="0"/>
              <c:layout>
                <c:manualLayout>
                  <c:x val="4.4444508425992804E-2"/>
                  <c:y val="-9.7222222222222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2D-4168-8458-C0E1FA682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Rides'!$C$19:$E$19</c:f>
              <c:strCache>
                <c:ptCount val="1"/>
                <c:pt idx="0">
                  <c:v>% Trips Fulfilled</c:v>
                </c:pt>
              </c:strCache>
            </c:strRef>
          </c:cat>
          <c:val>
            <c:numRef>
              <c:f>'PIvot FY19 Rides'!$C$21:$E$21</c:f>
              <c:numCache>
                <c:formatCode>0.0%</c:formatCode>
                <c:ptCount val="1"/>
                <c:pt idx="0">
                  <c:v>0.8688711516533637</c:v>
                </c:pt>
              </c:numCache>
            </c:numRef>
          </c:val>
          <c:extLst>
            <c:ext xmlns:c16="http://schemas.microsoft.com/office/drawing/2014/chart" uri="{C3380CC4-5D6E-409C-BE32-E72D297353CC}">
              <c16:uniqueId val="{00000003-302D-4168-8458-C0E1FA68251C}"/>
            </c:ext>
          </c:extLst>
        </c:ser>
        <c:ser>
          <c:idx val="2"/>
          <c:order val="2"/>
          <c:tx>
            <c:strRef>
              <c:f>'PIvot FY19 Rides'!$B$22</c:f>
              <c:strCache>
                <c:ptCount val="1"/>
                <c:pt idx="0">
                  <c:v>Upper Shore</c:v>
                </c:pt>
              </c:strCache>
            </c:strRef>
          </c:tx>
          <c:spPr>
            <a:solidFill>
              <a:schemeClr val="accent3"/>
            </a:solidFill>
            <a:ln>
              <a:noFill/>
            </a:ln>
            <a:effectLst/>
            <a:sp3d/>
          </c:spPr>
          <c:invertIfNegative val="0"/>
          <c:dLbls>
            <c:dLbl>
              <c:idx val="0"/>
              <c:layout>
                <c:manualLayout>
                  <c:x val="6.1111111111111109E-2"/>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2D-4168-8458-C0E1FA682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Rides'!$C$19:$E$19</c:f>
              <c:strCache>
                <c:ptCount val="1"/>
                <c:pt idx="0">
                  <c:v>% Trips Fulfilled</c:v>
                </c:pt>
              </c:strCache>
            </c:strRef>
          </c:cat>
          <c:val>
            <c:numRef>
              <c:f>'PIvot FY19 Rides'!$C$22:$E$22</c:f>
              <c:numCache>
                <c:formatCode>0.0%</c:formatCode>
                <c:ptCount val="1"/>
                <c:pt idx="0">
                  <c:v>0.86486486486486491</c:v>
                </c:pt>
              </c:numCache>
            </c:numRef>
          </c:val>
          <c:extLst>
            <c:ext xmlns:c16="http://schemas.microsoft.com/office/drawing/2014/chart" uri="{C3380CC4-5D6E-409C-BE32-E72D297353CC}">
              <c16:uniqueId val="{00000005-302D-4168-8458-C0E1FA68251C}"/>
            </c:ext>
          </c:extLst>
        </c:ser>
        <c:dLbls>
          <c:showLegendKey val="0"/>
          <c:showVal val="0"/>
          <c:showCatName val="0"/>
          <c:showSerName val="0"/>
          <c:showPercent val="0"/>
          <c:showBubbleSize val="0"/>
        </c:dLbls>
        <c:gapWidth val="150"/>
        <c:shape val="box"/>
        <c:axId val="466706000"/>
        <c:axId val="466705216"/>
        <c:axId val="0"/>
      </c:bar3DChart>
      <c:catAx>
        <c:axId val="466706000"/>
        <c:scaling>
          <c:orientation val="minMax"/>
        </c:scaling>
        <c:delete val="1"/>
        <c:axPos val="b"/>
        <c:numFmt formatCode="General" sourceLinked="1"/>
        <c:majorTickMark val="none"/>
        <c:minorTickMark val="none"/>
        <c:tickLblPos val="nextTo"/>
        <c:crossAx val="466705216"/>
        <c:crosses val="autoZero"/>
        <c:auto val="1"/>
        <c:lblAlgn val="ctr"/>
        <c:lblOffset val="100"/>
        <c:noMultiLvlLbl val="0"/>
      </c:catAx>
      <c:valAx>
        <c:axId val="4667052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en-US" b="1" baseline="0"/>
                  <a:t> Fulfilled</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6670600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[Hirshorn FY19 Report Ride Partners 081619 1700.xlsx]PIVOT FY19 Trips!PivotTable1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Total</a:t>
            </a:r>
            <a:r>
              <a:rPr lang="en-US" sz="1200" b="1" baseline="0"/>
              <a:t> Ride Partner Trips, All PIC Areas, by Monthly Income, FY2019</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dLbl>
          <c:idx val="0"/>
          <c:layout>
            <c:manualLayout>
              <c:x val="-1.463860792601855E-2"/>
              <c:y val="-7.87037037037036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dLbl>
          <c:idx val="0"/>
          <c:layout>
            <c:manualLayout>
              <c:x val="7.3193039630092748E-3"/>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dLbl>
          <c:idx val="0"/>
          <c:layout>
            <c:manualLayout>
              <c:x val="3.4156751827376618E-2"/>
              <c:y val="-7.40740740740741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dLbl>
          <c:idx val="0"/>
          <c:layout>
            <c:manualLayout>
              <c:x val="5.123512774106484E-2"/>
              <c:y val="-0.12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dLbl>
          <c:idx val="0"/>
          <c:layout>
            <c:manualLayout>
              <c:x val="3.4156751827376527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1"/>
        <c:spPr>
          <a:solidFill>
            <a:schemeClr val="accent1"/>
          </a:solidFill>
          <a:ln>
            <a:noFill/>
          </a:ln>
          <a:effectLst/>
          <a:sp3d/>
        </c:spPr>
        <c:dLbl>
          <c:idx val="0"/>
          <c:layout>
            <c:manualLayout>
              <c:x val="-1.463860792601855E-2"/>
              <c:y val="-7.87037037037036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a:sp3d/>
        </c:spPr>
        <c:dLbl>
          <c:idx val="0"/>
          <c:layout>
            <c:manualLayout>
              <c:x val="7.3193039630092748E-3"/>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a:sp3d/>
        </c:spPr>
        <c:dLbl>
          <c:idx val="0"/>
          <c:layout>
            <c:manualLayout>
              <c:x val="3.4156751827376618E-2"/>
              <c:y val="-7.40740740740741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4"/>
          </a:solidFill>
          <a:ln>
            <a:noFill/>
          </a:ln>
          <a:effectLst/>
          <a:sp3d/>
        </c:spPr>
        <c:dLbl>
          <c:idx val="0"/>
          <c:layout>
            <c:manualLayout>
              <c:x val="5.123512774106484E-2"/>
              <c:y val="-0.12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5"/>
          </a:solidFill>
          <a:ln>
            <a:noFill/>
          </a:ln>
          <a:effectLst/>
          <a:sp3d/>
        </c:spPr>
        <c:dLbl>
          <c:idx val="0"/>
          <c:layout>
            <c:manualLayout>
              <c:x val="3.4156751827376527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1"/>
        <c:spPr>
          <a:solidFill>
            <a:schemeClr val="accent1"/>
          </a:solidFill>
          <a:ln>
            <a:noFill/>
          </a:ln>
          <a:effectLst/>
          <a:sp3d/>
        </c:spPr>
        <c:dLbl>
          <c:idx val="0"/>
          <c:layout>
            <c:manualLayout>
              <c:x val="-1.463860792601855E-2"/>
              <c:y val="-7.87037037037036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2"/>
          </a:solidFill>
          <a:ln>
            <a:noFill/>
          </a:ln>
          <a:effectLst/>
          <a:sp3d/>
        </c:spPr>
        <c:dLbl>
          <c:idx val="0"/>
          <c:layout>
            <c:manualLayout>
              <c:x val="7.3193039630092748E-3"/>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3"/>
          </a:solidFill>
          <a:ln>
            <a:noFill/>
          </a:ln>
          <a:effectLst/>
          <a:sp3d/>
        </c:spPr>
        <c:dLbl>
          <c:idx val="0"/>
          <c:layout>
            <c:manualLayout>
              <c:x val="3.4156751827376618E-2"/>
              <c:y val="-7.40740740740741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4"/>
          </a:solidFill>
          <a:ln>
            <a:noFill/>
          </a:ln>
          <a:effectLst/>
          <a:sp3d/>
        </c:spPr>
        <c:dLbl>
          <c:idx val="0"/>
          <c:layout>
            <c:manualLayout>
              <c:x val="5.123512774106484E-2"/>
              <c:y val="-0.12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5"/>
          </a:solidFill>
          <a:ln>
            <a:noFill/>
          </a:ln>
          <a:effectLst/>
          <a:sp3d/>
        </c:spPr>
        <c:dLbl>
          <c:idx val="0"/>
          <c:layout>
            <c:manualLayout>
              <c:x val="3.4156751827376527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'PIVOT FY19 Trips'!$B$3</c:f>
              <c:strCache>
                <c:ptCount val="1"/>
                <c:pt idx="0">
                  <c:v>Monthly $ &lt;$900</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994C-45C1-901F-F3D44294F809}"/>
              </c:ext>
            </c:extLst>
          </c:dPt>
          <c:dLbls>
            <c:dLbl>
              <c:idx val="0"/>
              <c:layout>
                <c:manualLayout>
                  <c:x val="-1.463860792601855E-2"/>
                  <c:y val="-7.87037037037036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C-45C1-901F-F3D44294F8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'PIVOT FY19 Trips'!$A$4</c:f>
              <c:strCache>
                <c:ptCount val="1"/>
                <c:pt idx="0">
                  <c:v>Total</c:v>
                </c:pt>
              </c:strCache>
            </c:strRef>
          </c:cat>
          <c:val>
            <c:numRef>
              <c:f>'PIVOT FY19 Trips'!$B$4</c:f>
              <c:numCache>
                <c:formatCode>General</c:formatCode>
                <c:ptCount val="1"/>
                <c:pt idx="0">
                  <c:v>2364</c:v>
                </c:pt>
              </c:numCache>
            </c:numRef>
          </c:val>
          <c:extLst>
            <c:ext xmlns:c16="http://schemas.microsoft.com/office/drawing/2014/chart" uri="{C3380CC4-5D6E-409C-BE32-E72D297353CC}">
              <c16:uniqueId val="{00000002-994C-45C1-901F-F3D44294F809}"/>
            </c:ext>
          </c:extLst>
        </c:ser>
        <c:ser>
          <c:idx val="1"/>
          <c:order val="1"/>
          <c:tx>
            <c:strRef>
              <c:f>'PIVOT FY19 Trips'!$C$3</c:f>
              <c:strCache>
                <c:ptCount val="1"/>
                <c:pt idx="0">
                  <c:v>Monthly $901 - $1800</c:v>
                </c:pt>
              </c:strCache>
            </c:strRef>
          </c:tx>
          <c:spPr>
            <a:solidFill>
              <a:schemeClr val="accent2"/>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4-994C-45C1-901F-F3D44294F809}"/>
              </c:ext>
            </c:extLst>
          </c:dPt>
          <c:dLbls>
            <c:dLbl>
              <c:idx val="0"/>
              <c:layout>
                <c:manualLayout>
                  <c:x val="7.3193039630092748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4C-45C1-901F-F3D44294F8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Trips'!$A$4</c:f>
              <c:strCache>
                <c:ptCount val="1"/>
                <c:pt idx="0">
                  <c:v>Total</c:v>
                </c:pt>
              </c:strCache>
            </c:strRef>
          </c:cat>
          <c:val>
            <c:numRef>
              <c:f>'PIVOT FY19 Trips'!$C$4</c:f>
              <c:numCache>
                <c:formatCode>General</c:formatCode>
                <c:ptCount val="1"/>
                <c:pt idx="0">
                  <c:v>3150</c:v>
                </c:pt>
              </c:numCache>
            </c:numRef>
          </c:val>
          <c:extLst>
            <c:ext xmlns:c16="http://schemas.microsoft.com/office/drawing/2014/chart" uri="{C3380CC4-5D6E-409C-BE32-E72D297353CC}">
              <c16:uniqueId val="{00000005-994C-45C1-901F-F3D44294F809}"/>
            </c:ext>
          </c:extLst>
        </c:ser>
        <c:ser>
          <c:idx val="2"/>
          <c:order val="2"/>
          <c:tx>
            <c:strRef>
              <c:f>'PIVOT FY19 Trips'!$D$3</c:f>
              <c:strCache>
                <c:ptCount val="1"/>
                <c:pt idx="0">
                  <c:v>Monthly $1801 - $2500</c:v>
                </c:pt>
              </c:strCache>
            </c:strRef>
          </c:tx>
          <c:spPr>
            <a:solidFill>
              <a:schemeClr val="accent3"/>
            </a:solidFill>
            <a:ln>
              <a:noFill/>
            </a:ln>
            <a:effectLst/>
            <a:sp3d/>
          </c:spPr>
          <c:invertIfNegative val="0"/>
          <c:dPt>
            <c:idx val="0"/>
            <c:invertIfNegative val="0"/>
            <c:bubble3D val="0"/>
            <c:extLst>
              <c:ext xmlns:c16="http://schemas.microsoft.com/office/drawing/2014/chart" uri="{C3380CC4-5D6E-409C-BE32-E72D297353CC}">
                <c16:uniqueId val="{00000006-994C-45C1-901F-F3D44294F809}"/>
              </c:ext>
            </c:extLst>
          </c:dPt>
          <c:dLbls>
            <c:dLbl>
              <c:idx val="0"/>
              <c:layout>
                <c:manualLayout>
                  <c:x val="3.4156751827376618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C-45C1-901F-F3D44294F8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Trips'!$A$4</c:f>
              <c:strCache>
                <c:ptCount val="1"/>
                <c:pt idx="0">
                  <c:v>Total</c:v>
                </c:pt>
              </c:strCache>
            </c:strRef>
          </c:cat>
          <c:val>
            <c:numRef>
              <c:f>'PIVOT FY19 Trips'!$D$4</c:f>
              <c:numCache>
                <c:formatCode>General</c:formatCode>
                <c:ptCount val="1"/>
                <c:pt idx="0">
                  <c:v>1704</c:v>
                </c:pt>
              </c:numCache>
            </c:numRef>
          </c:val>
          <c:extLst>
            <c:ext xmlns:c16="http://schemas.microsoft.com/office/drawing/2014/chart" uri="{C3380CC4-5D6E-409C-BE32-E72D297353CC}">
              <c16:uniqueId val="{00000007-994C-45C1-901F-F3D44294F809}"/>
            </c:ext>
          </c:extLst>
        </c:ser>
        <c:ser>
          <c:idx val="3"/>
          <c:order val="3"/>
          <c:tx>
            <c:strRef>
              <c:f>'PIVOT FY19 Trips'!$E$3</c:f>
              <c:strCache>
                <c:ptCount val="1"/>
                <c:pt idx="0">
                  <c:v>Monthly $ &gt; $2500</c:v>
                </c:pt>
              </c:strCache>
            </c:strRef>
          </c:tx>
          <c:spPr>
            <a:solidFill>
              <a:schemeClr val="accent4"/>
            </a:solidFill>
            <a:ln>
              <a:noFill/>
            </a:ln>
            <a:effectLst/>
            <a:sp3d/>
          </c:spPr>
          <c:invertIfNegative val="0"/>
          <c:dPt>
            <c:idx val="0"/>
            <c:invertIfNegative val="0"/>
            <c:bubble3D val="0"/>
            <c:spPr>
              <a:solidFill>
                <a:schemeClr val="accent4"/>
              </a:solidFill>
              <a:ln>
                <a:noFill/>
              </a:ln>
              <a:effectLst/>
              <a:sp3d/>
            </c:spPr>
            <c:extLst>
              <c:ext xmlns:c16="http://schemas.microsoft.com/office/drawing/2014/chart" uri="{C3380CC4-5D6E-409C-BE32-E72D297353CC}">
                <c16:uniqueId val="{00000009-994C-45C1-901F-F3D44294F809}"/>
              </c:ext>
            </c:extLst>
          </c:dPt>
          <c:dLbls>
            <c:dLbl>
              <c:idx val="0"/>
              <c:layout>
                <c:manualLayout>
                  <c:x val="5.123512774106484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4C-45C1-901F-F3D44294F8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Trips'!$A$4</c:f>
              <c:strCache>
                <c:ptCount val="1"/>
                <c:pt idx="0">
                  <c:v>Total</c:v>
                </c:pt>
              </c:strCache>
            </c:strRef>
          </c:cat>
          <c:val>
            <c:numRef>
              <c:f>'PIVOT FY19 Trips'!$E$4</c:f>
              <c:numCache>
                <c:formatCode>General</c:formatCode>
                <c:ptCount val="1"/>
                <c:pt idx="0">
                  <c:v>1160</c:v>
                </c:pt>
              </c:numCache>
            </c:numRef>
          </c:val>
          <c:extLst>
            <c:ext xmlns:c16="http://schemas.microsoft.com/office/drawing/2014/chart" uri="{C3380CC4-5D6E-409C-BE32-E72D297353CC}">
              <c16:uniqueId val="{0000000A-994C-45C1-901F-F3D44294F809}"/>
            </c:ext>
          </c:extLst>
        </c:ser>
        <c:ser>
          <c:idx val="4"/>
          <c:order val="4"/>
          <c:tx>
            <c:strRef>
              <c:f>'PIVOT FY19 Trips'!$F$3</c:f>
              <c:strCache>
                <c:ptCount val="1"/>
                <c:pt idx="0">
                  <c:v>Unknown</c:v>
                </c:pt>
              </c:strCache>
            </c:strRef>
          </c:tx>
          <c:spPr>
            <a:solidFill>
              <a:schemeClr val="accent5"/>
            </a:solidFill>
            <a:ln>
              <a:noFill/>
            </a:ln>
            <a:effectLst/>
            <a:sp3d/>
          </c:spPr>
          <c:invertIfNegative val="0"/>
          <c:dPt>
            <c:idx val="0"/>
            <c:invertIfNegative val="0"/>
            <c:bubble3D val="0"/>
            <c:extLst>
              <c:ext xmlns:c16="http://schemas.microsoft.com/office/drawing/2014/chart" uri="{C3380CC4-5D6E-409C-BE32-E72D297353CC}">
                <c16:uniqueId val="{0000000B-994C-45C1-901F-F3D44294F809}"/>
              </c:ext>
            </c:extLst>
          </c:dPt>
          <c:dLbls>
            <c:dLbl>
              <c:idx val="0"/>
              <c:layout>
                <c:manualLayout>
                  <c:x val="3.415675182737652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4C-45C1-901F-F3D44294F8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Trips'!$A$4</c:f>
              <c:strCache>
                <c:ptCount val="1"/>
                <c:pt idx="0">
                  <c:v>Total</c:v>
                </c:pt>
              </c:strCache>
            </c:strRef>
          </c:cat>
          <c:val>
            <c:numRef>
              <c:f>'PIVOT FY19 Trips'!$F$4</c:f>
              <c:numCache>
                <c:formatCode>General</c:formatCode>
                <c:ptCount val="1"/>
                <c:pt idx="0">
                  <c:v>1372</c:v>
                </c:pt>
              </c:numCache>
            </c:numRef>
          </c:val>
          <c:extLst>
            <c:ext xmlns:c16="http://schemas.microsoft.com/office/drawing/2014/chart" uri="{C3380CC4-5D6E-409C-BE32-E72D297353CC}">
              <c16:uniqueId val="{0000000C-994C-45C1-901F-F3D44294F809}"/>
            </c:ext>
          </c:extLst>
        </c:ser>
        <c:dLbls>
          <c:showLegendKey val="0"/>
          <c:showVal val="1"/>
          <c:showCatName val="0"/>
          <c:showSerName val="0"/>
          <c:showPercent val="0"/>
          <c:showBubbleSize val="0"/>
        </c:dLbls>
        <c:gapWidth val="150"/>
        <c:shape val="box"/>
        <c:axId val="466704040"/>
        <c:axId val="466704824"/>
        <c:axId val="0"/>
      </c:bar3DChart>
      <c:catAx>
        <c:axId val="466704040"/>
        <c:scaling>
          <c:orientation val="minMax"/>
        </c:scaling>
        <c:delete val="1"/>
        <c:axPos val="b"/>
        <c:numFmt formatCode="General" sourceLinked="1"/>
        <c:majorTickMark val="none"/>
        <c:minorTickMark val="none"/>
        <c:tickLblPos val="nextTo"/>
        <c:crossAx val="466704824"/>
        <c:crosses val="autoZero"/>
        <c:auto val="1"/>
        <c:lblAlgn val="ctr"/>
        <c:lblOffset val="100"/>
        <c:noMultiLvlLbl val="0"/>
      </c:catAx>
      <c:valAx>
        <c:axId val="466704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baseline="0"/>
                  <a:t>Total Trips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66704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[Hirshorn FY19 Report Ride Partners 081619 1700.xlsx]Pivot FY19 Vol Hours!PivotTable1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Total</a:t>
            </a:r>
            <a:r>
              <a:rPr lang="en-US" sz="1200" b="1" baseline="0"/>
              <a:t> Volunteer Hours Delivered for Rides, by Monthly Income, All PIC Areas, FY19</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dLbl>
          <c:idx val="0"/>
          <c:layout>
            <c:manualLayout>
              <c:x val="7.4646059517007674E-2"/>
              <c:y val="-5.55555555555556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dLbl>
          <c:idx val="0"/>
          <c:layout>
            <c:manualLayout>
              <c:x val="2.831402257541674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dLbl>
          <c:idx val="0"/>
          <c:layout>
            <c:manualLayout>
              <c:x val="2.831402257541674E-2"/>
              <c:y val="-8.79629629629630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dLbl>
          <c:idx val="0"/>
          <c:layout>
            <c:manualLayout>
              <c:x val="1.029600820924245E-2"/>
              <c:y val="-5.09259259259259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dLbl>
          <c:idx val="0"/>
          <c:layout>
            <c:manualLayout>
              <c:x val="-2.0592016418484901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dLbl>
          <c:idx val="0"/>
          <c:layout>
            <c:manualLayout>
              <c:x val="-2.0592016418484901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a:sp3d/>
        </c:spPr>
        <c:dLbl>
          <c:idx val="0"/>
          <c:layout>
            <c:manualLayout>
              <c:x val="1.029600820924245E-2"/>
              <c:y val="-5.09259259259259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a:sp3d/>
        </c:spPr>
        <c:dLbl>
          <c:idx val="0"/>
          <c:layout>
            <c:manualLayout>
              <c:x val="2.831402257541674E-2"/>
              <c:y val="-8.79629629629630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4"/>
          </a:solidFill>
          <a:ln>
            <a:noFill/>
          </a:ln>
          <a:effectLst/>
          <a:sp3d/>
        </c:spPr>
        <c:dLbl>
          <c:idx val="0"/>
          <c:layout>
            <c:manualLayout>
              <c:x val="2.831402257541674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5"/>
          </a:solidFill>
          <a:ln>
            <a:noFill/>
          </a:ln>
          <a:effectLst/>
          <a:sp3d/>
        </c:spPr>
        <c:dLbl>
          <c:idx val="0"/>
          <c:layout>
            <c:manualLayout>
              <c:x val="7.4646059517007674E-2"/>
              <c:y val="-5.55555555555556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sp3d/>
        </c:spPr>
        <c:dLbl>
          <c:idx val="0"/>
          <c:layout>
            <c:manualLayout>
              <c:x val="-2.0592016418484901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2"/>
          </a:solidFill>
          <a:ln>
            <a:noFill/>
          </a:ln>
          <a:effectLst/>
          <a:sp3d/>
        </c:spPr>
        <c:dLbl>
          <c:idx val="0"/>
          <c:layout>
            <c:manualLayout>
              <c:x val="1.029600820924245E-2"/>
              <c:y val="-5.092592592592597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3"/>
          </a:solidFill>
          <a:ln>
            <a:noFill/>
          </a:ln>
          <a:effectLst/>
          <a:sp3d/>
        </c:spPr>
        <c:dLbl>
          <c:idx val="0"/>
          <c:layout>
            <c:manualLayout>
              <c:x val="2.831402257541674E-2"/>
              <c:y val="-8.79629629629630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4"/>
          </a:solidFill>
          <a:ln>
            <a:noFill/>
          </a:ln>
          <a:effectLst/>
          <a:sp3d/>
        </c:spPr>
        <c:dLbl>
          <c:idx val="0"/>
          <c:layout>
            <c:manualLayout>
              <c:x val="2.831402257541674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5"/>
          </a:solidFill>
          <a:ln>
            <a:noFill/>
          </a:ln>
          <a:effectLst/>
          <a:sp3d/>
        </c:spPr>
        <c:dLbl>
          <c:idx val="0"/>
          <c:layout>
            <c:manualLayout>
              <c:x val="7.4646059517007674E-2"/>
              <c:y val="-5.55555555555556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'Pivot FY19 Vol Hours'!$B$3</c:f>
              <c:strCache>
                <c:ptCount val="1"/>
                <c:pt idx="0">
                  <c:v>Monthly $ &lt; 900</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0-A349-4CC2-B8AE-0EE33B5C0674}"/>
              </c:ext>
            </c:extLst>
          </c:dPt>
          <c:dLbls>
            <c:dLbl>
              <c:idx val="0"/>
              <c:layout>
                <c:manualLayout>
                  <c:x val="-2.059201641848490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9-4CC2-B8AE-0EE33B5C06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Vol Hours'!$A$4</c:f>
              <c:strCache>
                <c:ptCount val="1"/>
                <c:pt idx="0">
                  <c:v>Total</c:v>
                </c:pt>
              </c:strCache>
            </c:strRef>
          </c:cat>
          <c:val>
            <c:numRef>
              <c:f>'Pivot FY19 Vol Hours'!$B$4</c:f>
              <c:numCache>
                <c:formatCode>0</c:formatCode>
                <c:ptCount val="1"/>
                <c:pt idx="0">
                  <c:v>2667.0916000000007</c:v>
                </c:pt>
              </c:numCache>
            </c:numRef>
          </c:val>
          <c:extLst>
            <c:ext xmlns:c16="http://schemas.microsoft.com/office/drawing/2014/chart" uri="{C3380CC4-5D6E-409C-BE32-E72D297353CC}">
              <c16:uniqueId val="{00000001-A349-4CC2-B8AE-0EE33B5C0674}"/>
            </c:ext>
          </c:extLst>
        </c:ser>
        <c:ser>
          <c:idx val="1"/>
          <c:order val="1"/>
          <c:tx>
            <c:strRef>
              <c:f>'Pivot FY19 Vol Hours'!$C$3</c:f>
              <c:strCache>
                <c:ptCount val="1"/>
                <c:pt idx="0">
                  <c:v>Monthly Income $ 901-$ 1800</c:v>
                </c:pt>
              </c:strCache>
            </c:strRef>
          </c:tx>
          <c:spPr>
            <a:solidFill>
              <a:schemeClr val="accent2"/>
            </a:solidFill>
            <a:ln>
              <a:noFill/>
            </a:ln>
            <a:effectLst/>
            <a:sp3d/>
          </c:spPr>
          <c:invertIfNegative val="0"/>
          <c:dPt>
            <c:idx val="0"/>
            <c:invertIfNegative val="0"/>
            <c:bubble3D val="0"/>
            <c:extLst>
              <c:ext xmlns:c16="http://schemas.microsoft.com/office/drawing/2014/chart" uri="{C3380CC4-5D6E-409C-BE32-E72D297353CC}">
                <c16:uniqueId val="{00000002-A349-4CC2-B8AE-0EE33B5C0674}"/>
              </c:ext>
            </c:extLst>
          </c:dPt>
          <c:dLbls>
            <c:dLbl>
              <c:idx val="0"/>
              <c:layout>
                <c:manualLayout>
                  <c:x val="1.029600820924245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9-4CC2-B8AE-0EE33B5C06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Vol Hours'!$A$4</c:f>
              <c:strCache>
                <c:ptCount val="1"/>
                <c:pt idx="0">
                  <c:v>Total</c:v>
                </c:pt>
              </c:strCache>
            </c:strRef>
          </c:cat>
          <c:val>
            <c:numRef>
              <c:f>'Pivot FY19 Vol Hours'!$C$4</c:f>
              <c:numCache>
                <c:formatCode>0</c:formatCode>
                <c:ptCount val="1"/>
                <c:pt idx="0">
                  <c:v>3632.9313000000025</c:v>
                </c:pt>
              </c:numCache>
            </c:numRef>
          </c:val>
          <c:extLst>
            <c:ext xmlns:c16="http://schemas.microsoft.com/office/drawing/2014/chart" uri="{C3380CC4-5D6E-409C-BE32-E72D297353CC}">
              <c16:uniqueId val="{00000003-A349-4CC2-B8AE-0EE33B5C0674}"/>
            </c:ext>
          </c:extLst>
        </c:ser>
        <c:ser>
          <c:idx val="2"/>
          <c:order val="2"/>
          <c:tx>
            <c:strRef>
              <c:f>'Pivot FY19 Vol Hours'!$D$3</c:f>
              <c:strCache>
                <c:ptCount val="1"/>
                <c:pt idx="0">
                  <c:v>Monthly Income $ 1801 -$ 2500</c:v>
                </c:pt>
              </c:strCache>
            </c:strRef>
          </c:tx>
          <c:spPr>
            <a:solidFill>
              <a:schemeClr val="accent3"/>
            </a:solidFill>
            <a:ln>
              <a:noFill/>
            </a:ln>
            <a:effectLst/>
            <a:sp3d/>
          </c:spPr>
          <c:invertIfNegative val="0"/>
          <c:dPt>
            <c:idx val="0"/>
            <c:invertIfNegative val="0"/>
            <c:bubble3D val="0"/>
            <c:extLst>
              <c:ext xmlns:c16="http://schemas.microsoft.com/office/drawing/2014/chart" uri="{C3380CC4-5D6E-409C-BE32-E72D297353CC}">
                <c16:uniqueId val="{00000004-A349-4CC2-B8AE-0EE33B5C0674}"/>
              </c:ext>
            </c:extLst>
          </c:dPt>
          <c:dLbls>
            <c:dLbl>
              <c:idx val="0"/>
              <c:layout>
                <c:manualLayout>
                  <c:x val="2.831402257541674E-2"/>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49-4CC2-B8AE-0EE33B5C06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Vol Hours'!$A$4</c:f>
              <c:strCache>
                <c:ptCount val="1"/>
                <c:pt idx="0">
                  <c:v>Total</c:v>
                </c:pt>
              </c:strCache>
            </c:strRef>
          </c:cat>
          <c:val>
            <c:numRef>
              <c:f>'Pivot FY19 Vol Hours'!$D$4</c:f>
              <c:numCache>
                <c:formatCode>0</c:formatCode>
                <c:ptCount val="1"/>
                <c:pt idx="0">
                  <c:v>1839.5804000000001</c:v>
                </c:pt>
              </c:numCache>
            </c:numRef>
          </c:val>
          <c:extLst>
            <c:ext xmlns:c16="http://schemas.microsoft.com/office/drawing/2014/chart" uri="{C3380CC4-5D6E-409C-BE32-E72D297353CC}">
              <c16:uniqueId val="{00000005-A349-4CC2-B8AE-0EE33B5C0674}"/>
            </c:ext>
          </c:extLst>
        </c:ser>
        <c:ser>
          <c:idx val="3"/>
          <c:order val="3"/>
          <c:tx>
            <c:strRef>
              <c:f>'Pivot FY19 Vol Hours'!$E$3</c:f>
              <c:strCache>
                <c:ptCount val="1"/>
                <c:pt idx="0">
                  <c:v>Monthly Income &gt;$ 2500</c:v>
                </c:pt>
              </c:strCache>
            </c:strRef>
          </c:tx>
          <c:spPr>
            <a:solidFill>
              <a:schemeClr val="accent4"/>
            </a:solidFill>
            <a:ln>
              <a:noFill/>
            </a:ln>
            <a:effectLst/>
            <a:sp3d/>
          </c:spPr>
          <c:invertIfNegative val="0"/>
          <c:dPt>
            <c:idx val="0"/>
            <c:invertIfNegative val="0"/>
            <c:bubble3D val="0"/>
            <c:spPr>
              <a:solidFill>
                <a:schemeClr val="accent4"/>
              </a:solidFill>
              <a:ln>
                <a:noFill/>
              </a:ln>
              <a:effectLst/>
              <a:sp3d/>
            </c:spPr>
            <c:extLst>
              <c:ext xmlns:c16="http://schemas.microsoft.com/office/drawing/2014/chart" uri="{C3380CC4-5D6E-409C-BE32-E72D297353CC}">
                <c16:uniqueId val="{00000007-A349-4CC2-B8AE-0EE33B5C0674}"/>
              </c:ext>
            </c:extLst>
          </c:dPt>
          <c:dLbls>
            <c:dLbl>
              <c:idx val="0"/>
              <c:layout>
                <c:manualLayout>
                  <c:x val="2.831402257541674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49-4CC2-B8AE-0EE33B5C06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Vol Hours'!$A$4</c:f>
              <c:strCache>
                <c:ptCount val="1"/>
                <c:pt idx="0">
                  <c:v>Total</c:v>
                </c:pt>
              </c:strCache>
            </c:strRef>
          </c:cat>
          <c:val>
            <c:numRef>
              <c:f>'Pivot FY19 Vol Hours'!$E$4</c:f>
              <c:numCache>
                <c:formatCode>0</c:formatCode>
                <c:ptCount val="1"/>
                <c:pt idx="0">
                  <c:v>1317.9804999999999</c:v>
                </c:pt>
              </c:numCache>
            </c:numRef>
          </c:val>
          <c:extLst>
            <c:ext xmlns:c16="http://schemas.microsoft.com/office/drawing/2014/chart" uri="{C3380CC4-5D6E-409C-BE32-E72D297353CC}">
              <c16:uniqueId val="{00000008-A349-4CC2-B8AE-0EE33B5C0674}"/>
            </c:ext>
          </c:extLst>
        </c:ser>
        <c:ser>
          <c:idx val="4"/>
          <c:order val="4"/>
          <c:tx>
            <c:strRef>
              <c:f>'Pivot FY19 Vol Hours'!$F$3</c:f>
              <c:strCache>
                <c:ptCount val="1"/>
                <c:pt idx="0">
                  <c:v>Unknown</c:v>
                </c:pt>
              </c:strCache>
            </c:strRef>
          </c:tx>
          <c:spPr>
            <a:solidFill>
              <a:schemeClr val="accent5"/>
            </a:solidFill>
            <a:ln>
              <a:noFill/>
            </a:ln>
            <a:effectLst/>
            <a:sp3d/>
          </c:spPr>
          <c:invertIfNegative val="0"/>
          <c:dPt>
            <c:idx val="0"/>
            <c:invertIfNegative val="0"/>
            <c:bubble3D val="0"/>
            <c:spPr>
              <a:solidFill>
                <a:schemeClr val="accent5"/>
              </a:solidFill>
              <a:ln>
                <a:noFill/>
              </a:ln>
              <a:effectLst/>
              <a:sp3d/>
            </c:spPr>
            <c:extLst>
              <c:ext xmlns:c16="http://schemas.microsoft.com/office/drawing/2014/chart" uri="{C3380CC4-5D6E-409C-BE32-E72D297353CC}">
                <c16:uniqueId val="{0000000A-A349-4CC2-B8AE-0EE33B5C0674}"/>
              </c:ext>
            </c:extLst>
          </c:dPt>
          <c:dLbls>
            <c:dLbl>
              <c:idx val="0"/>
              <c:layout>
                <c:manualLayout>
                  <c:x val="7.4646059517007674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49-4CC2-B8AE-0EE33B5C06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FY19 Vol Hours'!$A$4</c:f>
              <c:strCache>
                <c:ptCount val="1"/>
                <c:pt idx="0">
                  <c:v>Total</c:v>
                </c:pt>
              </c:strCache>
            </c:strRef>
          </c:cat>
          <c:val>
            <c:numRef>
              <c:f>'Pivot FY19 Vol Hours'!$F$4</c:f>
              <c:numCache>
                <c:formatCode>0</c:formatCode>
                <c:ptCount val="1"/>
                <c:pt idx="0">
                  <c:v>1654.3101000000001</c:v>
                </c:pt>
              </c:numCache>
            </c:numRef>
          </c:val>
          <c:extLst>
            <c:ext xmlns:c16="http://schemas.microsoft.com/office/drawing/2014/chart" uri="{C3380CC4-5D6E-409C-BE32-E72D297353CC}">
              <c16:uniqueId val="{0000000B-A349-4CC2-B8AE-0EE33B5C0674}"/>
            </c:ext>
          </c:extLst>
        </c:ser>
        <c:dLbls>
          <c:showLegendKey val="0"/>
          <c:showVal val="1"/>
          <c:showCatName val="0"/>
          <c:showSerName val="0"/>
          <c:showPercent val="0"/>
          <c:showBubbleSize val="0"/>
        </c:dLbls>
        <c:gapWidth val="150"/>
        <c:shape val="box"/>
        <c:axId val="555952320"/>
        <c:axId val="555950360"/>
        <c:axId val="0"/>
      </c:bar3DChart>
      <c:catAx>
        <c:axId val="555952320"/>
        <c:scaling>
          <c:orientation val="minMax"/>
        </c:scaling>
        <c:delete val="1"/>
        <c:axPos val="b"/>
        <c:numFmt formatCode="General" sourceLinked="1"/>
        <c:majorTickMark val="none"/>
        <c:minorTickMark val="none"/>
        <c:tickLblPos val="nextTo"/>
        <c:crossAx val="555950360"/>
        <c:crosses val="autoZero"/>
        <c:auto val="1"/>
        <c:lblAlgn val="ctr"/>
        <c:lblOffset val="100"/>
        <c:noMultiLvlLbl val="0"/>
      </c:catAx>
      <c:valAx>
        <c:axId val="555950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Total</a:t>
                </a:r>
                <a:r>
                  <a:rPr lang="en-US" b="1" baseline="0"/>
                  <a:t> Hours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595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000" b="1"/>
              <a:t>Distribution</a:t>
            </a:r>
            <a:r>
              <a:rPr lang="en-US" sz="1000" b="1" baseline="0"/>
              <a:t> of PIC Rides, by Age of Recipient, All Sites, FY19</a:t>
            </a:r>
            <a:r>
              <a:rPr lang="en-US" sz="1000" b="1"/>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'Original Raw Data'!$L$2</c:f>
              <c:strCache>
                <c:ptCount val="1"/>
                <c:pt idx="0">
                  <c:v>Trips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'Original Raw Data'!$K$3:$K$7</c:f>
              <c:strCache>
                <c:ptCount val="5"/>
                <c:pt idx="0">
                  <c:v>&lt;50</c:v>
                </c:pt>
                <c:pt idx="1">
                  <c:v>50-59</c:v>
                </c:pt>
                <c:pt idx="2">
                  <c:v>60-69</c:v>
                </c:pt>
                <c:pt idx="3">
                  <c:v>70-79</c:v>
                </c:pt>
                <c:pt idx="4">
                  <c:v>80+</c:v>
                </c:pt>
              </c:strCache>
            </c:strRef>
          </c:cat>
          <c:val>
            <c:numRef>
              <c:f>'Original Raw Data'!$L$3:$L$7</c:f>
              <c:numCache>
                <c:formatCode>General</c:formatCode>
                <c:ptCount val="5"/>
                <c:pt idx="0">
                  <c:v>50</c:v>
                </c:pt>
                <c:pt idx="1">
                  <c:v>441</c:v>
                </c:pt>
                <c:pt idx="2">
                  <c:v>1178</c:v>
                </c:pt>
                <c:pt idx="3">
                  <c:v>1556</c:v>
                </c:pt>
                <c:pt idx="4">
                  <c:v>1650</c:v>
                </c:pt>
              </c:numCache>
            </c:numRef>
          </c:val>
          <c:extLst>
            <c:ext xmlns:c16="http://schemas.microsoft.com/office/drawing/2014/chart" uri="{C3380CC4-5D6E-409C-BE32-E72D297353CC}">
              <c16:uniqueId val="{00000000-703A-492A-ABDB-4E7278EDD648}"/>
            </c:ext>
          </c:extLst>
        </c:ser>
        <c:dLbls>
          <c:showLegendKey val="0"/>
          <c:showVal val="1"/>
          <c:showCatName val="0"/>
          <c:showSerName val="0"/>
          <c:showPercent val="0"/>
          <c:showBubbleSize val="0"/>
        </c:dLbls>
        <c:gapWidth val="150"/>
        <c:shape val="box"/>
        <c:axId val="421818720"/>
        <c:axId val="421820288"/>
        <c:axId val="0"/>
      </c:bar3DChart>
      <c:catAx>
        <c:axId val="4218187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PIC Age</a:t>
                </a:r>
                <a:r>
                  <a:rPr lang="en-US" b="1" baseline="0"/>
                  <a:t> Groups</a:t>
                </a:r>
                <a:r>
                  <a:rPr lang="en-US" b="1"/>
                  <a: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1820288"/>
        <c:crosses val="autoZero"/>
        <c:auto val="1"/>
        <c:lblAlgn val="ctr"/>
        <c:lblOffset val="100"/>
        <c:noMultiLvlLbl val="0"/>
      </c:catAx>
      <c:valAx>
        <c:axId val="42182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en-US" b="1" baseline="0"/>
                  <a:t> Rides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1818720"/>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[EOY Metrics All Sites 082019.xlsx]Pivot by Program!PivotTable2</c:name>
    <c:fmtId val="-1"/>
  </c:pivotSource>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Total</a:t>
            </a:r>
            <a:r>
              <a:rPr lang="en-US" sz="1000" b="1" baseline="0"/>
              <a:t> Volunteer Trips &amp; Tasks, by PIC Program, All Sites, FY19</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4"/>
          </a:solidFill>
          <a:ln>
            <a:noFill/>
          </a:ln>
          <a:effectLst/>
          <a:sp3d/>
        </c:spPr>
        <c:dLbl>
          <c:idx val="0"/>
          <c:layout>
            <c:manualLayout>
              <c:x val="3.3333333333333333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a:sp3d/>
        </c:spPr>
        <c:dLbl>
          <c:idx val="0"/>
          <c:layout>
            <c:manualLayout>
              <c:x val="-5.5555555555555558E-3"/>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a:sp3d/>
        </c:spPr>
        <c:dLbl>
          <c:idx val="0"/>
          <c:layout>
            <c:manualLayout>
              <c:x val="-8.3333333333333835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dLbl>
          <c:idx val="0"/>
          <c:layout>
            <c:manualLayout>
              <c:x val="-2.2222222222222223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dLbl>
          <c:idx val="0"/>
          <c:layout>
            <c:manualLayout>
              <c:x val="-2.2222222222222223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a:sp3d/>
        </c:spPr>
        <c:dLbl>
          <c:idx val="0"/>
          <c:layout>
            <c:manualLayout>
              <c:x val="-8.3333333333333835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a:sp3d/>
        </c:spPr>
        <c:dLbl>
          <c:idx val="0"/>
          <c:layout>
            <c:manualLayout>
              <c:x val="-5.5555555555555558E-3"/>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a:sp3d/>
        </c:spPr>
        <c:dLbl>
          <c:idx val="0"/>
          <c:layout>
            <c:manualLayout>
              <c:x val="3.3333333333333333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p3d/>
        </c:spPr>
        <c:dLbl>
          <c:idx val="0"/>
          <c:layout>
            <c:manualLayout>
              <c:x val="-2.2222222222222223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2"/>
          </a:solidFill>
          <a:ln>
            <a:noFill/>
          </a:ln>
          <a:effectLst/>
          <a:sp3d/>
        </c:spPr>
        <c:dLbl>
          <c:idx val="0"/>
          <c:layout>
            <c:manualLayout>
              <c:x val="-8.3333333333333835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a:sp3d/>
        </c:spPr>
        <c:dLbl>
          <c:idx val="0"/>
          <c:layout>
            <c:manualLayout>
              <c:x val="-5.5555555555555558E-3"/>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4"/>
          </a:solidFill>
          <a:ln>
            <a:noFill/>
          </a:ln>
          <a:effectLst/>
          <a:sp3d/>
        </c:spPr>
        <c:dLbl>
          <c:idx val="0"/>
          <c:layout>
            <c:manualLayout>
              <c:x val="3.3333333333333333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'Pivot by Program'!$B$3</c:f>
              <c:strCache>
                <c:ptCount val="1"/>
                <c:pt idx="0">
                  <c:v>Handyman</c:v>
                </c:pt>
              </c:strCache>
            </c:strRef>
          </c:tx>
          <c:spPr>
            <a:solidFill>
              <a:schemeClr val="accent1"/>
            </a:solidFill>
            <a:ln>
              <a:noFill/>
            </a:ln>
            <a:effectLst/>
            <a:sp3d/>
          </c:spPr>
          <c:invertIfNegative val="0"/>
          <c:dLbls>
            <c:dLbl>
              <c:idx val="0"/>
              <c:layout>
                <c:manualLayout>
                  <c:x val="-2.2222222222222223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7C-4EBF-83FA-18BBEEBC52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by Program'!$A$4</c:f>
              <c:strCache>
                <c:ptCount val="1"/>
                <c:pt idx="0">
                  <c:v>Total</c:v>
                </c:pt>
              </c:strCache>
            </c:strRef>
          </c:cat>
          <c:val>
            <c:numRef>
              <c:f>'Pivot by Program'!$B$4</c:f>
              <c:numCache>
                <c:formatCode>General</c:formatCode>
                <c:ptCount val="1"/>
                <c:pt idx="0">
                  <c:v>618</c:v>
                </c:pt>
              </c:numCache>
            </c:numRef>
          </c:val>
          <c:extLst>
            <c:ext xmlns:c16="http://schemas.microsoft.com/office/drawing/2014/chart" uri="{C3380CC4-5D6E-409C-BE32-E72D297353CC}">
              <c16:uniqueId val="{00000001-B97C-4EBF-83FA-18BBEEBC5265}"/>
            </c:ext>
          </c:extLst>
        </c:ser>
        <c:ser>
          <c:idx val="1"/>
          <c:order val="1"/>
          <c:tx>
            <c:strRef>
              <c:f>'Pivot by Program'!$C$3</c:f>
              <c:strCache>
                <c:ptCount val="1"/>
                <c:pt idx="0">
                  <c:v>Member Care</c:v>
                </c:pt>
              </c:strCache>
            </c:strRef>
          </c:tx>
          <c:spPr>
            <a:solidFill>
              <a:schemeClr val="accent2"/>
            </a:solidFill>
            <a:ln>
              <a:noFill/>
            </a:ln>
            <a:effectLst/>
            <a:sp3d/>
          </c:spPr>
          <c:invertIfNegative val="0"/>
          <c:dLbls>
            <c:dLbl>
              <c:idx val="0"/>
              <c:layout>
                <c:manualLayout>
                  <c:x val="-8.3333333333333835E-3"/>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7C-4EBF-83FA-18BBEEBC52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by Program'!$A$4</c:f>
              <c:strCache>
                <c:ptCount val="1"/>
                <c:pt idx="0">
                  <c:v>Total</c:v>
                </c:pt>
              </c:strCache>
            </c:strRef>
          </c:cat>
          <c:val>
            <c:numRef>
              <c:f>'Pivot by Program'!$C$4</c:f>
              <c:numCache>
                <c:formatCode>General</c:formatCode>
                <c:ptCount val="1"/>
                <c:pt idx="0">
                  <c:v>3607</c:v>
                </c:pt>
              </c:numCache>
            </c:numRef>
          </c:val>
          <c:extLst>
            <c:ext xmlns:c16="http://schemas.microsoft.com/office/drawing/2014/chart" uri="{C3380CC4-5D6E-409C-BE32-E72D297353CC}">
              <c16:uniqueId val="{00000003-B97C-4EBF-83FA-18BBEEBC5265}"/>
            </c:ext>
          </c:extLst>
        </c:ser>
        <c:ser>
          <c:idx val="2"/>
          <c:order val="2"/>
          <c:tx>
            <c:strRef>
              <c:f>'Pivot by Program'!$D$3</c:f>
              <c:strCache>
                <c:ptCount val="1"/>
                <c:pt idx="0">
                  <c:v>Program Help</c:v>
                </c:pt>
              </c:strCache>
            </c:strRef>
          </c:tx>
          <c:spPr>
            <a:solidFill>
              <a:schemeClr val="accent3"/>
            </a:solidFill>
            <a:ln>
              <a:noFill/>
            </a:ln>
            <a:effectLst/>
            <a:sp3d/>
          </c:spPr>
          <c:invertIfNegative val="0"/>
          <c:dLbls>
            <c:dLbl>
              <c:idx val="0"/>
              <c:layout>
                <c:manualLayout>
                  <c:x val="-5.5555555555555558E-3"/>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7C-4EBF-83FA-18BBEEBC52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by Program'!$A$4</c:f>
              <c:strCache>
                <c:ptCount val="1"/>
                <c:pt idx="0">
                  <c:v>Total</c:v>
                </c:pt>
              </c:strCache>
            </c:strRef>
          </c:cat>
          <c:val>
            <c:numRef>
              <c:f>'Pivot by Program'!$D$4</c:f>
              <c:numCache>
                <c:formatCode>General</c:formatCode>
                <c:ptCount val="1"/>
                <c:pt idx="0">
                  <c:v>3363</c:v>
                </c:pt>
              </c:numCache>
            </c:numRef>
          </c:val>
          <c:extLst>
            <c:ext xmlns:c16="http://schemas.microsoft.com/office/drawing/2014/chart" uri="{C3380CC4-5D6E-409C-BE32-E72D297353CC}">
              <c16:uniqueId val="{00000005-B97C-4EBF-83FA-18BBEEBC5265}"/>
            </c:ext>
          </c:extLst>
        </c:ser>
        <c:ser>
          <c:idx val="3"/>
          <c:order val="3"/>
          <c:tx>
            <c:strRef>
              <c:f>'Pivot by Program'!$E$3</c:f>
              <c:strCache>
                <c:ptCount val="1"/>
                <c:pt idx="0">
                  <c:v>Transport</c:v>
                </c:pt>
              </c:strCache>
            </c:strRef>
          </c:tx>
          <c:spPr>
            <a:solidFill>
              <a:schemeClr val="accent4"/>
            </a:solidFill>
            <a:ln>
              <a:noFill/>
            </a:ln>
            <a:effectLst/>
            <a:sp3d/>
          </c:spPr>
          <c:invertIfNegative val="0"/>
          <c:dLbls>
            <c:dLbl>
              <c:idx val="0"/>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7C-4EBF-83FA-18BBEEBC52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by Program'!$A$4</c:f>
              <c:strCache>
                <c:ptCount val="1"/>
                <c:pt idx="0">
                  <c:v>Total</c:v>
                </c:pt>
              </c:strCache>
            </c:strRef>
          </c:cat>
          <c:val>
            <c:numRef>
              <c:f>'Pivot by Program'!$E$4</c:f>
              <c:numCache>
                <c:formatCode>General</c:formatCode>
                <c:ptCount val="1"/>
                <c:pt idx="0">
                  <c:v>9750</c:v>
                </c:pt>
              </c:numCache>
            </c:numRef>
          </c:val>
          <c:extLst>
            <c:ext xmlns:c16="http://schemas.microsoft.com/office/drawing/2014/chart" uri="{C3380CC4-5D6E-409C-BE32-E72D297353CC}">
              <c16:uniqueId val="{00000007-B97C-4EBF-83FA-18BBEEBC5265}"/>
            </c:ext>
          </c:extLst>
        </c:ser>
        <c:dLbls>
          <c:showLegendKey val="0"/>
          <c:showVal val="1"/>
          <c:showCatName val="0"/>
          <c:showSerName val="0"/>
          <c:showPercent val="0"/>
          <c:showBubbleSize val="0"/>
        </c:dLbls>
        <c:gapWidth val="150"/>
        <c:shape val="box"/>
        <c:axId val="62790712"/>
        <c:axId val="62789536"/>
        <c:axId val="0"/>
      </c:bar3DChart>
      <c:catAx>
        <c:axId val="62790712"/>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Total</a:t>
                </a:r>
                <a:r>
                  <a:rPr lang="en-US" b="1" baseline="0"/>
                  <a:t> Trips / Tasks by Program</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2789536"/>
        <c:crosses val="autoZero"/>
        <c:auto val="1"/>
        <c:lblAlgn val="ctr"/>
        <c:lblOffset val="100"/>
        <c:noMultiLvlLbl val="0"/>
      </c:catAx>
      <c:valAx>
        <c:axId val="6278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en-US" b="1" baseline="0"/>
                  <a:t> Trips / Tasks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790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accent5"/>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AE9B9-BB13-4700-8C91-FDD9E3BB8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Balicki</dc:creator>
  <cp:keywords/>
  <dc:description/>
  <cp:lastModifiedBy>Brian B.</cp:lastModifiedBy>
  <cp:revision>2</cp:revision>
  <dcterms:created xsi:type="dcterms:W3CDTF">2019-12-11T16:33:00Z</dcterms:created>
  <dcterms:modified xsi:type="dcterms:W3CDTF">2019-12-11T16:33:00Z</dcterms:modified>
</cp:coreProperties>
</file>